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C1" w:rsidRDefault="00CD3BC1" w:rsidP="00CD3BC1">
      <w:pPr>
        <w:pStyle w:val="berschrift2"/>
        <w:numPr>
          <w:ilvl w:val="0"/>
          <w:numId w:val="0"/>
        </w:numPr>
        <w:ind w:left="576" w:hanging="576"/>
      </w:pPr>
      <w:bookmarkStart w:id="0" w:name="_Toc395449754"/>
      <w:r>
        <w:t>V</w:t>
      </w:r>
      <w:r>
        <w:t xml:space="preserve"> 3 - Wasser als Lösungsmittel für Gase</w:t>
      </w:r>
      <w:bookmarkEnd w:id="0"/>
    </w:p>
    <w:p w:rsidR="00CD3BC1" w:rsidRDefault="00CD3BC1" w:rsidP="00CD3BC1">
      <w:pPr>
        <w:tabs>
          <w:tab w:val="left" w:pos="3090"/>
        </w:tabs>
        <w:spacing w:after="0"/>
      </w:pPr>
      <w:r>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D3BC1" w:rsidRPr="009C5E28" w:rsidTr="00566FD8">
        <w:tc>
          <w:tcPr>
            <w:tcW w:w="9322" w:type="dxa"/>
            <w:gridSpan w:val="9"/>
            <w:shd w:val="clear" w:color="auto" w:fill="4F81BD"/>
            <w:vAlign w:val="center"/>
          </w:tcPr>
          <w:p w:rsidR="00CD3BC1" w:rsidRPr="009C5E28" w:rsidRDefault="00CD3BC1" w:rsidP="00566FD8">
            <w:pPr>
              <w:spacing w:after="0"/>
              <w:jc w:val="center"/>
              <w:rPr>
                <w:b/>
                <w:bCs/>
              </w:rPr>
            </w:pPr>
            <w:r w:rsidRPr="009C5E28">
              <w:rPr>
                <w:b/>
                <w:bCs/>
              </w:rPr>
              <w:t>Gefahrenstoffe</w:t>
            </w:r>
          </w:p>
        </w:tc>
      </w:tr>
      <w:tr w:rsidR="00CD3BC1" w:rsidRPr="009C5E28" w:rsidTr="00566FD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D3BC1" w:rsidRPr="00143811" w:rsidRDefault="00CD3BC1" w:rsidP="00566FD8">
            <w:pPr>
              <w:spacing w:after="0" w:line="276" w:lineRule="auto"/>
              <w:jc w:val="center"/>
              <w:rPr>
                <w:bCs/>
              </w:rPr>
            </w:pPr>
            <w:r>
              <w:rPr>
                <w:bCs/>
              </w:rPr>
              <w:t>-</w:t>
            </w:r>
          </w:p>
        </w:tc>
        <w:tc>
          <w:tcPr>
            <w:tcW w:w="3177" w:type="dxa"/>
            <w:gridSpan w:val="3"/>
            <w:tcBorders>
              <w:top w:val="single" w:sz="8" w:space="0" w:color="4F81BD"/>
              <w:bottom w:val="single" w:sz="8" w:space="0" w:color="4F81BD"/>
            </w:tcBorders>
            <w:shd w:val="clear" w:color="auto" w:fill="auto"/>
            <w:vAlign w:val="center"/>
          </w:tcPr>
          <w:p w:rsidR="00CD3BC1" w:rsidRPr="009C5E28" w:rsidRDefault="00CD3BC1" w:rsidP="00566FD8">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D3BC1" w:rsidRPr="009C5E28" w:rsidRDefault="00CD3BC1" w:rsidP="00566FD8">
            <w:pPr>
              <w:spacing w:after="0"/>
              <w:jc w:val="center"/>
            </w:pPr>
            <w:r>
              <w:rPr>
                <w:sz w:val="20"/>
              </w:rPr>
              <w:t>-</w:t>
            </w:r>
          </w:p>
        </w:tc>
      </w:tr>
      <w:tr w:rsidR="00CD3BC1" w:rsidRPr="009C5E28" w:rsidTr="00566FD8">
        <w:tc>
          <w:tcPr>
            <w:tcW w:w="1009" w:type="dxa"/>
            <w:tcBorders>
              <w:top w:val="single" w:sz="8" w:space="0" w:color="4F81BD"/>
              <w:left w:val="single" w:sz="8" w:space="0" w:color="4F81BD"/>
              <w:bottom w:val="single" w:sz="8" w:space="0" w:color="4F81BD"/>
            </w:tcBorders>
            <w:shd w:val="clear" w:color="auto" w:fill="auto"/>
            <w:vAlign w:val="center"/>
          </w:tcPr>
          <w:p w:rsidR="00CD3BC1" w:rsidRPr="009C5E28" w:rsidRDefault="00CD3BC1" w:rsidP="00566FD8">
            <w:pPr>
              <w:spacing w:after="0"/>
              <w:jc w:val="center"/>
              <w:rPr>
                <w:b/>
                <w:bCs/>
              </w:rPr>
            </w:pPr>
            <w:r>
              <w:rPr>
                <w:b/>
                <w:noProof/>
                <w:lang w:eastAsia="de-DE"/>
              </w:rPr>
              <w:drawing>
                <wp:inline distT="0" distB="0" distL="0" distR="0" wp14:anchorId="709DC37D" wp14:editId="6F61972E">
                  <wp:extent cx="504190" cy="504190"/>
                  <wp:effectExtent l="0" t="0" r="0" b="0"/>
                  <wp:docPr id="130" name="Grafi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3BC1" w:rsidRPr="009C5E28" w:rsidRDefault="00CD3BC1" w:rsidP="00566FD8">
            <w:pPr>
              <w:spacing w:after="0"/>
              <w:jc w:val="center"/>
            </w:pPr>
            <w:r>
              <w:rPr>
                <w:noProof/>
                <w:lang w:eastAsia="de-DE"/>
              </w:rPr>
              <w:drawing>
                <wp:inline distT="0" distB="0" distL="0" distR="0" wp14:anchorId="0D98CE8D" wp14:editId="3A38BCE8">
                  <wp:extent cx="504190" cy="504190"/>
                  <wp:effectExtent l="0" t="0" r="0" b="0"/>
                  <wp:docPr id="131" name="Grafi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3BC1" w:rsidRPr="009C5E28" w:rsidRDefault="00CD3BC1" w:rsidP="00566FD8">
            <w:pPr>
              <w:spacing w:after="0"/>
              <w:jc w:val="center"/>
            </w:pPr>
            <w:r>
              <w:rPr>
                <w:noProof/>
                <w:lang w:eastAsia="de-DE"/>
              </w:rPr>
              <w:drawing>
                <wp:inline distT="0" distB="0" distL="0" distR="0" wp14:anchorId="69BC3DD9" wp14:editId="759D8A5E">
                  <wp:extent cx="504190" cy="504190"/>
                  <wp:effectExtent l="0" t="0" r="0" b="0"/>
                  <wp:docPr id="132" name="Grafi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3BC1" w:rsidRPr="009C5E28" w:rsidRDefault="00CD3BC1" w:rsidP="00566FD8">
            <w:pPr>
              <w:spacing w:after="0"/>
              <w:jc w:val="center"/>
            </w:pPr>
            <w:r>
              <w:rPr>
                <w:noProof/>
                <w:lang w:eastAsia="de-DE"/>
              </w:rPr>
              <w:drawing>
                <wp:inline distT="0" distB="0" distL="0" distR="0" wp14:anchorId="12E8F2FD" wp14:editId="0DBE8943">
                  <wp:extent cx="504190" cy="504190"/>
                  <wp:effectExtent l="0" t="0" r="0" b="0"/>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D3BC1" w:rsidRPr="009C5E28" w:rsidRDefault="00CD3BC1" w:rsidP="00566FD8">
            <w:pPr>
              <w:spacing w:after="0"/>
              <w:jc w:val="center"/>
            </w:pPr>
            <w:r>
              <w:rPr>
                <w:noProof/>
                <w:lang w:eastAsia="de-DE"/>
              </w:rPr>
              <w:drawing>
                <wp:inline distT="0" distB="0" distL="0" distR="0" wp14:anchorId="011E47E0" wp14:editId="01B80D9B">
                  <wp:extent cx="504190" cy="504190"/>
                  <wp:effectExtent l="0" t="0" r="0" b="0"/>
                  <wp:docPr id="134" name="Grafi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D3BC1" w:rsidRPr="009C5E28" w:rsidRDefault="00CD3BC1" w:rsidP="00566FD8">
            <w:pPr>
              <w:spacing w:after="0"/>
              <w:jc w:val="center"/>
            </w:pPr>
            <w:r>
              <w:rPr>
                <w:noProof/>
                <w:lang w:eastAsia="de-DE"/>
              </w:rPr>
              <w:drawing>
                <wp:inline distT="0" distB="0" distL="0" distR="0" wp14:anchorId="3C7293D1" wp14:editId="129D99EF">
                  <wp:extent cx="504190" cy="504190"/>
                  <wp:effectExtent l="0" t="0" r="0" b="0"/>
                  <wp:docPr id="135" name="Grafi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D3BC1" w:rsidRPr="009C5E28" w:rsidRDefault="00CD3BC1" w:rsidP="00566FD8">
            <w:pPr>
              <w:spacing w:after="0"/>
              <w:jc w:val="center"/>
            </w:pPr>
            <w:r>
              <w:rPr>
                <w:noProof/>
                <w:lang w:eastAsia="de-DE"/>
              </w:rPr>
              <w:drawing>
                <wp:inline distT="0" distB="0" distL="0" distR="0" wp14:anchorId="4E306E93" wp14:editId="330EE195">
                  <wp:extent cx="504190" cy="504190"/>
                  <wp:effectExtent l="0" t="0" r="0" b="0"/>
                  <wp:docPr id="136" name="Grafi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3BC1" w:rsidRPr="009C5E28" w:rsidRDefault="00CD3BC1" w:rsidP="00566FD8">
            <w:pPr>
              <w:spacing w:after="0"/>
              <w:jc w:val="center"/>
            </w:pPr>
            <w:r>
              <w:rPr>
                <w:noProof/>
                <w:lang w:eastAsia="de-DE"/>
              </w:rPr>
              <w:drawing>
                <wp:inline distT="0" distB="0" distL="0" distR="0" wp14:anchorId="209B6778" wp14:editId="04DD1BCC">
                  <wp:extent cx="511175" cy="511175"/>
                  <wp:effectExtent l="0" t="0" r="3175" b="3175"/>
                  <wp:docPr id="13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D3BC1" w:rsidRPr="009C5E28" w:rsidRDefault="00CD3BC1" w:rsidP="00566FD8">
            <w:pPr>
              <w:spacing w:after="0"/>
              <w:jc w:val="center"/>
            </w:pPr>
            <w:r>
              <w:rPr>
                <w:noProof/>
                <w:lang w:eastAsia="de-DE"/>
              </w:rPr>
              <w:drawing>
                <wp:inline distT="0" distB="0" distL="0" distR="0" wp14:anchorId="196ED27F" wp14:editId="4B8E029D">
                  <wp:extent cx="504190" cy="504190"/>
                  <wp:effectExtent l="0" t="0" r="0" b="0"/>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CD3BC1" w:rsidRDefault="00CD3BC1" w:rsidP="00CD3BC1">
      <w:pPr>
        <w:tabs>
          <w:tab w:val="left" w:pos="1701"/>
          <w:tab w:val="left" w:pos="1985"/>
        </w:tabs>
        <w:spacing w:before="240"/>
        <w:ind w:left="1980" w:hanging="1980"/>
      </w:pPr>
      <w:r>
        <w:t xml:space="preserve">Materialien: </w:t>
      </w:r>
      <w:r>
        <w:tab/>
      </w:r>
      <w:r>
        <w:tab/>
        <w:t xml:space="preserve">2 </w:t>
      </w:r>
      <w:proofErr w:type="spellStart"/>
      <w:r>
        <w:t>Kolbenprober</w:t>
      </w:r>
      <w:proofErr w:type="spellEnd"/>
      <w:r>
        <w:t xml:space="preserve"> mit 1-Wege-Hahn (100 mL), Schlau, Stativ, 2 Klemmen und  2 Muffen</w:t>
      </w:r>
      <w:bookmarkStart w:id="1" w:name="_GoBack"/>
      <w:bookmarkEnd w:id="1"/>
    </w:p>
    <w:p w:rsidR="00CD3BC1" w:rsidRPr="00ED07C2" w:rsidRDefault="00CD3BC1" w:rsidP="00CD3BC1">
      <w:pPr>
        <w:tabs>
          <w:tab w:val="left" w:pos="1701"/>
          <w:tab w:val="left" w:pos="1985"/>
        </w:tabs>
        <w:ind w:left="1980" w:hanging="1980"/>
      </w:pPr>
      <w:r>
        <w:t>Chemikalien:</w:t>
      </w:r>
      <w:r>
        <w:tab/>
      </w:r>
      <w:r>
        <w:tab/>
        <w:t>demineralisiertes Wasser, Kohlenstoffdioxid und Sauerstoff</w:t>
      </w:r>
    </w:p>
    <w:p w:rsidR="00CD3BC1" w:rsidRDefault="00CD3BC1" w:rsidP="00CD3BC1">
      <w:pPr>
        <w:tabs>
          <w:tab w:val="left" w:pos="1701"/>
          <w:tab w:val="left" w:pos="1985"/>
        </w:tabs>
        <w:spacing w:after="0"/>
        <w:ind w:left="1980" w:hanging="1980"/>
      </w:pPr>
      <w:r>
        <w:t xml:space="preserve">Durchführung: </w:t>
      </w:r>
      <w:r>
        <w:tab/>
      </w:r>
      <w:r>
        <w:tab/>
        <w:t xml:space="preserve">In einem </w:t>
      </w:r>
      <w:proofErr w:type="spellStart"/>
      <w:r>
        <w:t>Kolbenprober</w:t>
      </w:r>
      <w:proofErr w:type="spellEnd"/>
      <w:r>
        <w:t xml:space="preserve"> werden 25 mL demineralisiertes Wasser aufgez</w:t>
      </w:r>
      <w:r>
        <w:t>o</w:t>
      </w:r>
      <w:r>
        <w:t xml:space="preserve">gen. Luftblasenbildung sollte vermieden werden. In dem zweiten </w:t>
      </w:r>
      <w:proofErr w:type="spellStart"/>
      <w:r>
        <w:t>Kolbe</w:t>
      </w:r>
      <w:r>
        <w:t>n</w:t>
      </w:r>
      <w:r>
        <w:t>prober</w:t>
      </w:r>
      <w:proofErr w:type="spellEnd"/>
      <w:r>
        <w:t xml:space="preserve"> wird Kohlenstoffdioxid aufgezogen. Das Auffüllen des Gases sollte der Lehrer beziehungsweise die Lehrerin durchführen, da der Umgang mit der Gasflasche beherrscht werden sollte. Zudem muss ein sehr geringer Gasstrom eingestellt werden, damit der Stempel des </w:t>
      </w:r>
      <w:proofErr w:type="spellStart"/>
      <w:r>
        <w:t>Kolbenprobers</w:t>
      </w:r>
      <w:proofErr w:type="spellEnd"/>
      <w:r>
        <w:t xml:space="preserve"> nicht unkontrolliert herausgedrückt wird. Die beiden </w:t>
      </w:r>
      <w:proofErr w:type="spellStart"/>
      <w:r>
        <w:t>Kolbenprober</w:t>
      </w:r>
      <w:proofErr w:type="spellEnd"/>
      <w:r>
        <w:t xml:space="preserve"> werden am Stativ fixiert (s. </w:t>
      </w:r>
      <w:r>
        <w:fldChar w:fldCharType="begin"/>
      </w:r>
      <w:r>
        <w:instrText xml:space="preserve"> REF _Ref395394896 \h </w:instrText>
      </w:r>
      <w:r>
        <w:fldChar w:fldCharType="separate"/>
      </w:r>
      <w:r w:rsidR="009B5087">
        <w:t xml:space="preserve">Abbildung </w:t>
      </w:r>
      <w:r w:rsidR="009B5087">
        <w:rPr>
          <w:noProof/>
        </w:rPr>
        <w:t>4</w:t>
      </w:r>
      <w:r>
        <w:fldChar w:fldCharType="end"/>
      </w:r>
      <w:r>
        <w:t xml:space="preserve">). Der obere </w:t>
      </w:r>
      <w:proofErr w:type="spellStart"/>
      <w:r>
        <w:t>Kolbenprober</w:t>
      </w:r>
      <w:proofErr w:type="spellEnd"/>
      <w:r>
        <w:t xml:space="preserve"> sollte das Gas en</w:t>
      </w:r>
      <w:r>
        <w:t>t</w:t>
      </w:r>
      <w:r>
        <w:t xml:space="preserve">halten. Mit Hilfe des Schlauchs werden sie miteinander verbunden, die 1-Wege-Hähne geöffnet und das Gas in den unteren Kolben überführt. Die Hähne werden geschlossen, der untere </w:t>
      </w:r>
      <w:proofErr w:type="spellStart"/>
      <w:r>
        <w:t>Kolbenprober</w:t>
      </w:r>
      <w:proofErr w:type="spellEnd"/>
      <w:r>
        <w:t xml:space="preserve"> aus der Klemme g</w:t>
      </w:r>
      <w:r>
        <w:t>e</w:t>
      </w:r>
      <w:r>
        <w:t>löst und mit der Spitze nach unten gehalten. Die Messskala wird in mL a</w:t>
      </w:r>
      <w:r>
        <w:t>b</w:t>
      </w:r>
      <w:r>
        <w:t xml:space="preserve">gelesen und der Wert notiert. Nun wird der </w:t>
      </w:r>
      <w:proofErr w:type="spellStart"/>
      <w:r>
        <w:t>Kolbenprober</w:t>
      </w:r>
      <w:proofErr w:type="spellEnd"/>
      <w:r>
        <w:t xml:space="preserve"> mehrmals krä</w:t>
      </w:r>
      <w:r>
        <w:t>f</w:t>
      </w:r>
      <w:r>
        <w:t>tigt geschüttelt und der Wert erneut durch nach unten halten der Spitze abgelesen. Das restliche Gas wird durch verbinden und Öffnen der beiden 1-Wege-Hähne in den oberen Kolben überführt und das Volumen der be</w:t>
      </w:r>
      <w:r>
        <w:t>i</w:t>
      </w:r>
      <w:r>
        <w:t xml:space="preserve">den </w:t>
      </w:r>
      <w:proofErr w:type="spellStart"/>
      <w:r>
        <w:t>Kolbenprober</w:t>
      </w:r>
      <w:proofErr w:type="spellEnd"/>
      <w:r>
        <w:t xml:space="preserve"> erneut bestimmt.</w:t>
      </w:r>
    </w:p>
    <w:p w:rsidR="00CD3BC1" w:rsidRDefault="00CD3BC1" w:rsidP="00CD3BC1">
      <w:pPr>
        <w:tabs>
          <w:tab w:val="left" w:pos="1701"/>
          <w:tab w:val="left" w:pos="1985"/>
        </w:tabs>
        <w:spacing w:after="0"/>
        <w:ind w:left="1980" w:hanging="1980"/>
      </w:pPr>
      <w:r>
        <w:rPr>
          <w:noProof/>
          <w:lang w:eastAsia="de-DE"/>
        </w:rPr>
        <mc:AlternateContent>
          <mc:Choice Requires="wps">
            <w:drawing>
              <wp:anchor distT="0" distB="0" distL="114300" distR="114300" simplePos="0" relativeHeight="251661312" behindDoc="0" locked="0" layoutInCell="1" allowOverlap="1" wp14:anchorId="6F2CBC1E" wp14:editId="2239C136">
                <wp:simplePos x="0" y="0"/>
                <wp:positionH relativeFrom="column">
                  <wp:posOffset>1719580</wp:posOffset>
                </wp:positionH>
                <wp:positionV relativeFrom="paragraph">
                  <wp:posOffset>1600835</wp:posOffset>
                </wp:positionV>
                <wp:extent cx="3287395" cy="161925"/>
                <wp:effectExtent l="0" t="0" r="8255" b="9525"/>
                <wp:wrapNone/>
                <wp:docPr id="140" name="Textfeld 140"/>
                <wp:cNvGraphicFramePr/>
                <a:graphic xmlns:a="http://schemas.openxmlformats.org/drawingml/2006/main">
                  <a:graphicData uri="http://schemas.microsoft.com/office/word/2010/wordprocessingShape">
                    <wps:wsp>
                      <wps:cNvSpPr txBox="1"/>
                      <wps:spPr>
                        <a:xfrm>
                          <a:off x="0" y="0"/>
                          <a:ext cx="3287395" cy="161925"/>
                        </a:xfrm>
                        <a:prstGeom prst="rect">
                          <a:avLst/>
                        </a:prstGeom>
                        <a:solidFill>
                          <a:prstClr val="white"/>
                        </a:solidFill>
                        <a:ln>
                          <a:noFill/>
                        </a:ln>
                        <a:effectLst/>
                      </wps:spPr>
                      <wps:txbx>
                        <w:txbxContent>
                          <w:p w:rsidR="00CD3BC1" w:rsidRPr="005B45AA" w:rsidRDefault="00CD3BC1" w:rsidP="00CD3BC1">
                            <w:pPr>
                              <w:pStyle w:val="Beschriftung"/>
                              <w:rPr>
                                <w:noProof/>
                                <w:color w:val="1D1B11" w:themeColor="background2" w:themeShade="1A"/>
                              </w:rPr>
                            </w:pPr>
                            <w:bookmarkStart w:id="2" w:name="_Ref395394896"/>
                            <w:r>
                              <w:t xml:space="preserve">Abbildung </w:t>
                            </w:r>
                            <w:r>
                              <w:fldChar w:fldCharType="begin"/>
                            </w:r>
                            <w:r>
                              <w:instrText xml:space="preserve"> SEQ Abbildung \* ARABIC </w:instrText>
                            </w:r>
                            <w:r>
                              <w:fldChar w:fldCharType="separate"/>
                            </w:r>
                            <w:r w:rsidR="009B5087">
                              <w:rPr>
                                <w:noProof/>
                              </w:rPr>
                              <w:t>1</w:t>
                            </w:r>
                            <w:r>
                              <w:rPr>
                                <w:noProof/>
                              </w:rPr>
                              <w:fldChar w:fldCharType="end"/>
                            </w:r>
                            <w:bookmarkEnd w:id="2"/>
                            <w:r>
                              <w:t xml:space="preserve">: Versuchsaufbau der </w:t>
                            </w:r>
                            <w:proofErr w:type="spellStart"/>
                            <w:r>
                              <w:t>Kolbenprober</w:t>
                            </w:r>
                            <w:proofErr w:type="spellEnd"/>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0" o:spid="_x0000_s1026" type="#_x0000_t202" style="position:absolute;left:0;text-align:left;margin-left:135.4pt;margin-top:126.05pt;width:258.85pt;height:1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" stroked="f">
                <v:textbox inset="0,0,0,0">
                  <w:txbxContent>
                    <w:p w:rsidR="00CD3BC1" w:rsidRPr="005B45AA" w:rsidRDefault="00CD3BC1" w:rsidP="00CD3BC1">
                      <w:pPr>
                        <w:pStyle w:val="Beschriftung"/>
                        <w:rPr>
                          <w:noProof/>
                          <w:color w:val="1D1B11" w:themeColor="background2" w:themeShade="1A"/>
                        </w:rPr>
                      </w:pPr>
                      <w:bookmarkStart w:id="3" w:name="_Ref395394896"/>
                      <w:r>
                        <w:t xml:space="preserve">Abbildung </w:t>
                      </w:r>
                      <w:r>
                        <w:fldChar w:fldCharType="begin"/>
                      </w:r>
                      <w:r>
                        <w:instrText xml:space="preserve"> SEQ Abbildung \* ARABIC </w:instrText>
                      </w:r>
                      <w:r>
                        <w:fldChar w:fldCharType="separate"/>
                      </w:r>
                      <w:r w:rsidR="009B5087">
                        <w:rPr>
                          <w:noProof/>
                        </w:rPr>
                        <w:t>1</w:t>
                      </w:r>
                      <w:r>
                        <w:rPr>
                          <w:noProof/>
                        </w:rPr>
                        <w:fldChar w:fldCharType="end"/>
                      </w:r>
                      <w:bookmarkEnd w:id="3"/>
                      <w:r>
                        <w:t xml:space="preserve">: Versuchsaufbau der </w:t>
                      </w:r>
                      <w:proofErr w:type="spellStart"/>
                      <w:r>
                        <w:t>Kolbenprober</w:t>
                      </w:r>
                      <w:proofErr w:type="spellEnd"/>
                      <w:r>
                        <w:t>.</w:t>
                      </w:r>
                    </w:p>
                  </w:txbxContent>
                </v:textbox>
              </v:shape>
            </w:pict>
          </mc:Fallback>
        </mc:AlternateContent>
      </w:r>
      <w:r>
        <w:rPr>
          <w:noProof/>
          <w:lang w:eastAsia="de-DE"/>
        </w:rPr>
        <w:drawing>
          <wp:anchor distT="0" distB="0" distL="114300" distR="114300" simplePos="0" relativeHeight="251660288" behindDoc="0" locked="0" layoutInCell="1" allowOverlap="1" wp14:anchorId="1CB60744" wp14:editId="0E417C98">
            <wp:simplePos x="0" y="0"/>
            <wp:positionH relativeFrom="column">
              <wp:posOffset>1719580</wp:posOffset>
            </wp:positionH>
            <wp:positionV relativeFrom="paragraph">
              <wp:posOffset>76835</wp:posOffset>
            </wp:positionV>
            <wp:extent cx="3287395" cy="1466850"/>
            <wp:effectExtent l="0" t="0" r="8255" b="0"/>
            <wp:wrapTopAndBottom/>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546.JPG"/>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3287395"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3BC1" w:rsidRDefault="00CD3BC1" w:rsidP="00CD3BC1">
      <w:pPr>
        <w:tabs>
          <w:tab w:val="left" w:pos="1701"/>
          <w:tab w:val="left" w:pos="1985"/>
        </w:tabs>
        <w:spacing w:before="240"/>
        <w:ind w:left="1980" w:hanging="1980"/>
      </w:pPr>
      <w:r>
        <w:lastRenderedPageBreak/>
        <w:t>Beobachtung:</w:t>
      </w:r>
      <w:r>
        <w:tab/>
      </w:r>
      <w:r>
        <w:tab/>
        <w:t>Das Volumen ist beim ersten Ablesen fast mit den Ausgangsvolumina (65 mL) identisch. Während des Schüttelns zieht der Kolben sich nach innen. Beim zweiten Ablesen zeigt die Skala nur 50 mL an. Nach der Überfü</w:t>
      </w:r>
      <w:r>
        <w:t>h</w:t>
      </w:r>
      <w:r>
        <w:t>rung in den oberen Kolben ist das Volumen des Gases von 35 mL auf 20 mL gesunken. Das Volumen des Wassers ist gleich geblieben.</w:t>
      </w:r>
    </w:p>
    <w:p w:rsidR="00CD3BC1" w:rsidRDefault="00CD3BC1" w:rsidP="00CD3BC1">
      <w:pPr>
        <w:tabs>
          <w:tab w:val="left" w:pos="1701"/>
          <w:tab w:val="left" w:pos="1985"/>
        </w:tabs>
        <w:ind w:left="1980" w:hanging="1980"/>
      </w:pPr>
      <w:r>
        <w:t>Deutung:</w:t>
      </w:r>
      <w:r>
        <w:tab/>
      </w:r>
      <w:r>
        <w:tab/>
        <w:t>Die Abnahme des Gasvolumens zeigt, dass sich Kohlenstoffdioxid in Wasser gelöst hat.</w:t>
      </w:r>
    </w:p>
    <w:p w:rsidR="00CD3BC1" w:rsidRDefault="00CD3BC1" w:rsidP="00CD3BC1">
      <w:pPr>
        <w:spacing w:line="276" w:lineRule="auto"/>
        <w:ind w:left="1985" w:hanging="1985"/>
      </w:pPr>
      <w:r>
        <w:t>Entsorgung:</w:t>
      </w:r>
      <w:r>
        <w:tab/>
        <w:t>Die Flüssigkeiten können über den Abfluss entsorgt werden.</w:t>
      </w:r>
    </w:p>
    <w:p w:rsidR="00CD3BC1" w:rsidRPr="001C2E72" w:rsidRDefault="00CD3BC1" w:rsidP="00CD3BC1">
      <w:pPr>
        <w:ind w:left="1985" w:hanging="1985"/>
        <w:rPr>
          <w:color w:val="auto"/>
        </w:rPr>
      </w:pPr>
      <w:r w:rsidRPr="001C2E72">
        <w:rPr>
          <w:color w:val="auto"/>
        </w:rPr>
        <w:t>Literatur:</w:t>
      </w:r>
      <w:r w:rsidRPr="001C2E72">
        <w:rPr>
          <w:color w:val="auto"/>
        </w:rPr>
        <w:tab/>
        <w:t xml:space="preserve">G. v. </w:t>
      </w:r>
      <w:proofErr w:type="spellStart"/>
      <w:r w:rsidRPr="001C2E72">
        <w:rPr>
          <w:color w:val="auto"/>
        </w:rPr>
        <w:t>Borstel</w:t>
      </w:r>
      <w:proofErr w:type="spellEnd"/>
      <w:r w:rsidRPr="001C2E72">
        <w:rPr>
          <w:color w:val="auto"/>
        </w:rPr>
        <w:t xml:space="preserve"> et. al., http://www.dickhaeuser.de/uni_essen_sp/powerstoff_</w:t>
      </w:r>
      <w:r>
        <w:rPr>
          <w:color w:val="auto"/>
        </w:rPr>
        <w:t xml:space="preserve"> </w:t>
      </w:r>
      <w:r w:rsidRPr="001C2E72">
        <w:rPr>
          <w:color w:val="auto"/>
        </w:rPr>
        <w:t>mit_sauerstoff.pdf, 15.10.2006 (Zuletzt abgerufen am 09.08.2014 um 17.30 Uhr)</w:t>
      </w:r>
      <w:r>
        <w:rPr>
          <w:color w:val="auto"/>
        </w:rPr>
        <w:t>.</w:t>
      </w:r>
    </w:p>
    <w:p w:rsidR="00CD3BC1" w:rsidRPr="001C2E72" w:rsidRDefault="00CD3BC1" w:rsidP="00CD3BC1">
      <w:pPr>
        <w:ind w:left="1985" w:hanging="1985"/>
        <w:rPr>
          <w:color w:val="auto"/>
        </w:rPr>
      </w:pPr>
      <w:r>
        <w:rPr>
          <w:color w:val="auto"/>
        </w:rPr>
        <w:tab/>
        <w:t>G. v. </w:t>
      </w:r>
      <w:proofErr w:type="spellStart"/>
      <w:r w:rsidRPr="001C2E72">
        <w:rPr>
          <w:color w:val="auto"/>
        </w:rPr>
        <w:t>Borstel</w:t>
      </w:r>
      <w:proofErr w:type="spellEnd"/>
      <w:r w:rsidRPr="001C2E72">
        <w:rPr>
          <w:color w:val="auto"/>
        </w:rPr>
        <w:t>, http://lcu.creos.de/files/Luft_und_Verbrennung/pdf/Stationen/Luft_Station_16_Powerstoff_mit_Sauerstoff.pdf, o. J. (Zuletzt abgerufen am 09.08.2014 um 17.45 Uhr).</w:t>
      </w:r>
      <w:r w:rsidRPr="001C2E72">
        <w:rPr>
          <w:rStyle w:val="Hyperlink"/>
          <w:color w:val="auto"/>
        </w:rPr>
        <w:t xml:space="preserve"> </w:t>
      </w:r>
    </w:p>
    <w:p w:rsidR="00A97FD0" w:rsidRDefault="00A97FD0"/>
    <w:sectPr w:rsidR="00A97F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C1"/>
    <w:rsid w:val="00047CAF"/>
    <w:rsid w:val="00152CE4"/>
    <w:rsid w:val="00767BC8"/>
    <w:rsid w:val="008371B2"/>
    <w:rsid w:val="009B5087"/>
    <w:rsid w:val="00A97FD0"/>
    <w:rsid w:val="00AF3D99"/>
    <w:rsid w:val="00CD3BC1"/>
    <w:rsid w:val="00D8371B"/>
    <w:rsid w:val="00FF5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3BC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D3BC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D3BC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D3BC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D3BC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D3BC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D3BC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D3BC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D3BC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D3BC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Spalten1">
    <w:name w:val="Table Columns 1"/>
    <w:basedOn w:val="NormaleTabelle"/>
    <w:rsid w:val="00152CE4"/>
    <w:pPr>
      <w:spacing w:after="0" w:line="36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bottom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1Zchn">
    <w:name w:val="Überschrift 1 Zchn"/>
    <w:basedOn w:val="Absatz-Standardschriftart"/>
    <w:link w:val="berschrift1"/>
    <w:uiPriority w:val="9"/>
    <w:rsid w:val="00CD3BC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D3BC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D3BC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D3BC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D3BC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D3BC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D3BC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D3BC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D3BC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D3BC1"/>
    <w:pPr>
      <w:spacing w:line="240" w:lineRule="auto"/>
    </w:pPr>
    <w:rPr>
      <w:bCs/>
      <w:color w:val="auto"/>
      <w:sz w:val="18"/>
      <w:szCs w:val="18"/>
    </w:rPr>
  </w:style>
  <w:style w:type="character" w:styleId="Hyperlink">
    <w:name w:val="Hyperlink"/>
    <w:basedOn w:val="Absatz-Standardschriftart"/>
    <w:uiPriority w:val="99"/>
    <w:unhideWhenUsed/>
    <w:rsid w:val="00CD3BC1"/>
    <w:rPr>
      <w:color w:val="0000FF" w:themeColor="hyperlink"/>
      <w:u w:val="single"/>
    </w:rPr>
  </w:style>
  <w:style w:type="paragraph" w:styleId="Sprechblasentext">
    <w:name w:val="Balloon Text"/>
    <w:basedOn w:val="Standard"/>
    <w:link w:val="SprechblasentextZchn"/>
    <w:uiPriority w:val="99"/>
    <w:semiHidden/>
    <w:unhideWhenUsed/>
    <w:rsid w:val="00CD3B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3BC1"/>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3BC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D3BC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D3BC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D3BC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D3BC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D3BC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D3BC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D3BC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D3BC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D3BC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Spalten1">
    <w:name w:val="Table Columns 1"/>
    <w:basedOn w:val="NormaleTabelle"/>
    <w:rsid w:val="00152CE4"/>
    <w:pPr>
      <w:spacing w:after="0" w:line="36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bottom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1Zchn">
    <w:name w:val="Überschrift 1 Zchn"/>
    <w:basedOn w:val="Absatz-Standardschriftart"/>
    <w:link w:val="berschrift1"/>
    <w:uiPriority w:val="9"/>
    <w:rsid w:val="00CD3BC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D3BC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D3BC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D3BC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D3BC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D3BC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D3BC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D3BC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D3BC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D3BC1"/>
    <w:pPr>
      <w:spacing w:line="240" w:lineRule="auto"/>
    </w:pPr>
    <w:rPr>
      <w:bCs/>
      <w:color w:val="auto"/>
      <w:sz w:val="18"/>
      <w:szCs w:val="18"/>
    </w:rPr>
  </w:style>
  <w:style w:type="character" w:styleId="Hyperlink">
    <w:name w:val="Hyperlink"/>
    <w:basedOn w:val="Absatz-Standardschriftart"/>
    <w:uiPriority w:val="99"/>
    <w:unhideWhenUsed/>
    <w:rsid w:val="00CD3BC1"/>
    <w:rPr>
      <w:color w:val="0000FF" w:themeColor="hyperlink"/>
      <w:u w:val="single"/>
    </w:rPr>
  </w:style>
  <w:style w:type="paragraph" w:styleId="Sprechblasentext">
    <w:name w:val="Balloon Text"/>
    <w:basedOn w:val="Standard"/>
    <w:link w:val="SprechblasentextZchn"/>
    <w:uiPriority w:val="99"/>
    <w:semiHidden/>
    <w:unhideWhenUsed/>
    <w:rsid w:val="00CD3B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3BC1"/>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2001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dc:creator>
  <cp:lastModifiedBy>Nele</cp:lastModifiedBy>
  <cp:revision>2</cp:revision>
  <cp:lastPrinted>2014-08-26T20:11:00Z</cp:lastPrinted>
  <dcterms:created xsi:type="dcterms:W3CDTF">2014-08-26T20:09:00Z</dcterms:created>
  <dcterms:modified xsi:type="dcterms:W3CDTF">2014-08-26T20:11:00Z</dcterms:modified>
</cp:coreProperties>
</file>