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4B" w:rsidRDefault="001A424B" w:rsidP="001A424B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0.7pt;width:462.45pt;height:66.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1A424B" w:rsidRPr="000D10FB" w:rsidRDefault="001A424B" w:rsidP="001A424B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Alle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haben schon mal Mineralwasser getrunken.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kennen eventuell auch </w:t>
                  </w:r>
                  <w:proofErr w:type="spellStart"/>
                  <w:r>
                    <w:rPr>
                      <w:color w:val="1F497D" w:themeColor="text2"/>
                    </w:rPr>
                    <w:t>Sodamax</w:t>
                  </w:r>
                  <w:proofErr w:type="spellEnd"/>
                  <w:r>
                    <w:rPr>
                      <w:color w:val="1F497D" w:themeColor="text2"/>
                    </w:rPr>
                    <w:t>, mit dem Kohlensäure in Leitungswasser gegeben wird. Dort wird Kohlenstoffdioxid in das Wasser gepumpt. Hier wird das Kohlenstoffdioxid wieder frei.</w:t>
                  </w:r>
                </w:p>
              </w:txbxContent>
            </v:textbox>
            <w10:wrap type="square"/>
          </v:shape>
        </w:pict>
      </w:r>
      <w:bookmarkStart w:id="0" w:name="_Toc395643632"/>
      <w:r>
        <w:t>V 7 – Mineralwasser als Kerzenlöscher</w:t>
      </w:r>
      <w:bookmarkEnd w:id="0"/>
    </w:p>
    <w:p w:rsidR="001A424B" w:rsidRPr="00F40111" w:rsidRDefault="001A424B" w:rsidP="001A424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A424B" w:rsidRPr="009C5E28" w:rsidTr="003F5EAE">
        <w:tc>
          <w:tcPr>
            <w:tcW w:w="9322" w:type="dxa"/>
            <w:gridSpan w:val="9"/>
            <w:shd w:val="clear" w:color="auto" w:fill="4F81BD"/>
            <w:vAlign w:val="center"/>
          </w:tcPr>
          <w:p w:rsidR="001A424B" w:rsidRPr="009C5E28" w:rsidRDefault="001A424B" w:rsidP="003F5EAE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1A424B" w:rsidRPr="009C5E28" w:rsidTr="003F5EA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Mineralwasser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1A424B" w:rsidRPr="009C5E28" w:rsidTr="003F5EA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  <w:rPr>
                <w:b/>
                <w:bCs/>
              </w:rPr>
            </w:pPr>
            <w:r w:rsidRPr="008077A6">
              <w:rPr>
                <w:b/>
                <w:noProof/>
                <w:lang w:eastAsia="de-DE"/>
              </w:rPr>
              <w:drawing>
                <wp:inline distT="0" distB="0" distL="0" distR="0">
                  <wp:extent cx="533041" cy="533041"/>
                  <wp:effectExtent l="19050" t="0" r="359" b="0"/>
                  <wp:docPr id="189" name="Bild 2" descr="C:\Users\noraa\Documents\SVP Chemie\Piktogramm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raa\Documents\SVP Chemie\Piktogramm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06" cy="53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 w:rsidRPr="008077A6">
              <w:rPr>
                <w:noProof/>
                <w:lang w:eastAsia="de-DE"/>
              </w:rPr>
              <w:drawing>
                <wp:inline distT="0" distB="0" distL="0" distR="0">
                  <wp:extent cx="541667" cy="541667"/>
                  <wp:effectExtent l="19050" t="0" r="0" b="0"/>
                  <wp:docPr id="196" name="Bild 3" descr="C:\Users\noraa\Documents\SVP Chemie\Piktogramm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raa\Documents\SVP Chemie\Piktogramm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30" cy="54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424B" w:rsidRPr="009C5E28" w:rsidRDefault="001A424B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schmales Becherglas, Kerze, (eventuell </w:t>
      </w:r>
      <w:proofErr w:type="spellStart"/>
      <w:r>
        <w:t>Magnetrührer</w:t>
      </w:r>
      <w:proofErr w:type="spellEnd"/>
      <w:r>
        <w:t xml:space="preserve"> mit Heizplatte), Ti</w:t>
      </w:r>
      <w:r>
        <w:t>e</w:t>
      </w:r>
      <w:r>
        <w:t>gelzange</w:t>
      </w:r>
    </w:p>
    <w:p w:rsidR="001A424B" w:rsidRPr="00ED07C2" w:rsidRDefault="001A424B" w:rsidP="001A424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Mineralwasser mit viel Kohlensäure</w:t>
      </w: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das Becherglas Mineralwasser füllen, dann mit einer Tiegelzange die brennende Kerze hineinsetzen. Eventuell Becherglas auf eine Heizplatte stellen und erhitzen oder mit einem </w:t>
      </w:r>
      <w:proofErr w:type="spellStart"/>
      <w:r>
        <w:t>Magnetrührer</w:t>
      </w:r>
      <w:proofErr w:type="spellEnd"/>
      <w:r>
        <w:t xml:space="preserve"> rühren. </w:t>
      </w: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1554260</wp:posOffset>
            </wp:positionH>
            <wp:positionV relativeFrom="paragraph">
              <wp:posOffset>542347</wp:posOffset>
            </wp:positionV>
            <wp:extent cx="1359374" cy="1337480"/>
            <wp:effectExtent l="19050" t="0" r="0" b="0"/>
            <wp:wrapNone/>
            <wp:docPr id="178" name="Bild 46" descr="C:\Users\noraa\Desktop\FilmeFotosBrandbekämpfung\fotos für präse\IMG_4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noraa\Desktop\FilmeFotosBrandbekämpfung\fotos für präse\IMG_45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74" cy="133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542290</wp:posOffset>
            </wp:positionV>
            <wp:extent cx="1440815" cy="1337310"/>
            <wp:effectExtent l="19050" t="0" r="6985" b="0"/>
            <wp:wrapNone/>
            <wp:docPr id="179" name="Bild 47" descr="C:\Users\noraa\Desktop\FilmeFotosBrandbekämpfung\fotos für präse\IMG_45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noraa\Desktop\FilmeFotosBrandbekämpfung\fotos für präse\IMG_45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>Gasblasen steigen auf. Nach einiger Zeit erlischt die Kerze. Oft erlischt die Kerze schon beim Hineinsetzten.</w:t>
      </w: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</w:p>
    <w:p w:rsidR="001A424B" w:rsidRDefault="001A424B" w:rsidP="001A424B">
      <w:pPr>
        <w:tabs>
          <w:tab w:val="left" w:pos="1701"/>
          <w:tab w:val="left" w:pos="1985"/>
        </w:tabs>
      </w:pP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</w:p>
    <w:p w:rsidR="001A424B" w:rsidRDefault="001A424B" w:rsidP="001A424B">
      <w:pPr>
        <w:pStyle w:val="Beschriftung"/>
        <w:jc w:val="left"/>
        <w:rPr>
          <w:bCs w:val="0"/>
          <w:color w:val="1D1B11" w:themeColor="background2" w:themeShade="1A"/>
          <w:sz w:val="22"/>
          <w:szCs w:val="22"/>
        </w:rPr>
      </w:pPr>
    </w:p>
    <w:p w:rsidR="001A424B" w:rsidRDefault="001A424B" w:rsidP="001A424B">
      <w:pPr>
        <w:pStyle w:val="Beschriftung"/>
        <w:jc w:val="left"/>
      </w:pPr>
      <w:r>
        <w:rPr>
          <w:noProof/>
        </w:rPr>
        <w:t>Abb</w:t>
      </w:r>
      <w:r>
        <w:t>.7- Die Flamme der Kerze erlischt.</w:t>
      </w: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  <w:r w:rsidRPr="0033009E">
        <w:rPr>
          <w:color w:val="auto"/>
        </w:rPr>
        <w:t xml:space="preserve">Deutung:  </w:t>
      </w:r>
      <w:r w:rsidRPr="0033009E">
        <w:rPr>
          <w:color w:val="auto"/>
        </w:rPr>
        <w:tab/>
      </w:r>
      <w:r w:rsidRPr="0033009E">
        <w:rPr>
          <w:color w:val="auto"/>
        </w:rPr>
        <w:tab/>
        <w:t>Kohlenstoffdioxid liegt in Mineralwasser als Kohlensäure gelöst vor. Durch</w:t>
      </w:r>
      <w:r>
        <w:t xml:space="preserve"> die Bewegung des Einfüllens oder des </w:t>
      </w:r>
      <w:proofErr w:type="spellStart"/>
      <w:r>
        <w:t>Magnetrührers</w:t>
      </w:r>
      <w:proofErr w:type="spellEnd"/>
      <w:r>
        <w:t>, das Erhitzen mit der Heizplatte oder durch die Wärme der Kerze steigen Bläschen mit Kohle</w:t>
      </w:r>
      <w:r>
        <w:t>n</w:t>
      </w:r>
      <w:r>
        <w:t>stoffdioxid auf. Dieses Gas verdrängt den Sauerstoff, dadurch, dass es dic</w:t>
      </w:r>
      <w:r>
        <w:t>h</w:t>
      </w:r>
      <w:r>
        <w:t>ter ist. Eine Bedingung des Feuerdreiecks ist nicht erfüllt.</w:t>
      </w:r>
    </w:p>
    <w:p w:rsidR="001A424B" w:rsidRDefault="001A424B" w:rsidP="001A424B">
      <w:pPr>
        <w:tabs>
          <w:tab w:val="left" w:pos="1701"/>
          <w:tab w:val="left" w:pos="1985"/>
        </w:tabs>
        <w:ind w:left="1980" w:hanging="1980"/>
      </w:pPr>
      <w:r>
        <w:lastRenderedPageBreak/>
        <w:t>Literatur:</w:t>
      </w:r>
      <w:r>
        <w:tab/>
      </w:r>
      <w:r>
        <w:tab/>
        <w:t xml:space="preserve">J. Hecker, </w:t>
      </w:r>
      <w:r w:rsidRPr="00F40111">
        <w:t>Der Kinder Brockhaus</w:t>
      </w:r>
      <w:r>
        <w:t>-</w:t>
      </w:r>
      <w:r w:rsidRPr="00F40111">
        <w:t xml:space="preserve"> Experimente</w:t>
      </w:r>
      <w:r>
        <w:t>-</w:t>
      </w:r>
      <w:r w:rsidRPr="00F40111">
        <w:t xml:space="preserve"> Den Naturwissenschaften auf de</w:t>
      </w:r>
      <w:r>
        <w:t>r Spur,</w:t>
      </w:r>
      <w:r w:rsidRPr="00F40111">
        <w:t xml:space="preserve"> 2010</w:t>
      </w:r>
      <w:r>
        <w:t>,</w:t>
      </w:r>
      <w:r w:rsidRPr="00F40111">
        <w:t xml:space="preserve"> S.126</w:t>
      </w:r>
    </w:p>
    <w:bookmarkStart w:id="1" w:name="_Toc395468942"/>
    <w:bookmarkStart w:id="2" w:name="_Toc395506600"/>
    <w:bookmarkStart w:id="3" w:name="_Toc395643633"/>
    <w:bookmarkEnd w:id="1"/>
    <w:bookmarkEnd w:id="2"/>
    <w:bookmarkEnd w:id="3"/>
    <w:p w:rsidR="001A424B" w:rsidRDefault="001A424B" w:rsidP="001A424B">
      <w:pPr>
        <w:pStyle w:val="berschrift1"/>
        <w:numPr>
          <w:ilvl w:val="0"/>
          <w:numId w:val="0"/>
        </w:numPr>
        <w:ind w:left="432"/>
      </w:pPr>
      <w:r>
        <w:pict>
          <v:shape id="_x0000_s1026" type="#_x0000_t202" style="width:462.45pt;height:49.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1A424B" w:rsidRPr="000D10FB" w:rsidRDefault="001A424B" w:rsidP="001A424B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An diesem Versuch kann auch die Löslichkeit von Gasen in Wasser thematisiert werden. Es wäre ein guter Einstiegsversuch. </w:t>
                  </w:r>
                </w:p>
              </w:txbxContent>
            </v:textbox>
            <w10:wrap type="none"/>
            <w10:anchorlock/>
          </v:shape>
        </w:pict>
      </w:r>
    </w:p>
    <w:p w:rsidR="001A424B" w:rsidRPr="009C34FF" w:rsidRDefault="001A424B" w:rsidP="001A424B"/>
    <w:p w:rsidR="001A424B" w:rsidRDefault="001A424B" w:rsidP="001A424B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424B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712EA"/>
    <w:rsid w:val="00071664"/>
    <w:rsid w:val="00071F21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4004"/>
    <w:rsid w:val="00125FA3"/>
    <w:rsid w:val="00133E86"/>
    <w:rsid w:val="0013665F"/>
    <w:rsid w:val="00141789"/>
    <w:rsid w:val="00153566"/>
    <w:rsid w:val="00162FC5"/>
    <w:rsid w:val="00163AB4"/>
    <w:rsid w:val="00163BCB"/>
    <w:rsid w:val="00180232"/>
    <w:rsid w:val="00181C91"/>
    <w:rsid w:val="00191E34"/>
    <w:rsid w:val="001934D1"/>
    <w:rsid w:val="00194426"/>
    <w:rsid w:val="001A424B"/>
    <w:rsid w:val="001A5655"/>
    <w:rsid w:val="001C2C46"/>
    <w:rsid w:val="001C306B"/>
    <w:rsid w:val="001C5C03"/>
    <w:rsid w:val="001D7831"/>
    <w:rsid w:val="001E691A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94AEC"/>
    <w:rsid w:val="002A4424"/>
    <w:rsid w:val="002B2937"/>
    <w:rsid w:val="002E1486"/>
    <w:rsid w:val="002E2AA5"/>
    <w:rsid w:val="002E2B43"/>
    <w:rsid w:val="002E47B4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71BC"/>
    <w:rsid w:val="00491914"/>
    <w:rsid w:val="00491CA9"/>
    <w:rsid w:val="00494EDF"/>
    <w:rsid w:val="004A639D"/>
    <w:rsid w:val="004A6FB9"/>
    <w:rsid w:val="004B11F5"/>
    <w:rsid w:val="004B634C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3E1C"/>
    <w:rsid w:val="0069652D"/>
    <w:rsid w:val="006B2545"/>
    <w:rsid w:val="006C05EC"/>
    <w:rsid w:val="006D0F1B"/>
    <w:rsid w:val="006D4B22"/>
    <w:rsid w:val="006F1F6D"/>
    <w:rsid w:val="006F20E3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937B4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6B08"/>
    <w:rsid w:val="00CF75F7"/>
    <w:rsid w:val="00D00B05"/>
    <w:rsid w:val="00D12B8C"/>
    <w:rsid w:val="00D13B63"/>
    <w:rsid w:val="00D15269"/>
    <w:rsid w:val="00D220DB"/>
    <w:rsid w:val="00D42583"/>
    <w:rsid w:val="00D476A5"/>
    <w:rsid w:val="00D53C0A"/>
    <w:rsid w:val="00D54E8B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A22D3"/>
    <w:rsid w:val="00DA4EC1"/>
    <w:rsid w:val="00DB4079"/>
    <w:rsid w:val="00DC7A1A"/>
    <w:rsid w:val="00DD575F"/>
    <w:rsid w:val="00DE1180"/>
    <w:rsid w:val="00DE2060"/>
    <w:rsid w:val="00DE3E4F"/>
    <w:rsid w:val="00DF2622"/>
    <w:rsid w:val="00DF61BF"/>
    <w:rsid w:val="00E00713"/>
    <w:rsid w:val="00E02C43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24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424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424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24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2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2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2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2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2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2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424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424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24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4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4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4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4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4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4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A424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24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2014-08-26T20:47:00Z</dcterms:created>
  <dcterms:modified xsi:type="dcterms:W3CDTF">2014-08-26T20:47:00Z</dcterms:modified>
</cp:coreProperties>
</file>