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35" w:rsidRDefault="003F4935" w:rsidP="003F4935">
      <w:pPr>
        <w:pStyle w:val="berschrift1"/>
        <w:numPr>
          <w:ilvl w:val="0"/>
          <w:numId w:val="0"/>
        </w:numPr>
        <w:spacing w:before="0"/>
        <w:ind w:left="431" w:hanging="431"/>
      </w:pPr>
      <w:r>
        <w:t>L</w:t>
      </w:r>
      <w:r w:rsidR="008A0FFF">
        <w:t>V</w:t>
      </w:r>
      <w:r w:rsidR="00D05F91">
        <w:t xml:space="preserve"> –</w:t>
      </w:r>
      <w:r>
        <w:t xml:space="preserve"> Nachweis von sauren, neutralen und alkalischen Lösungen</w:t>
      </w:r>
    </w:p>
    <w:p w:rsidR="003F4935" w:rsidRPr="00453462" w:rsidRDefault="0040048C" w:rsidP="003F4935"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7" type="#_x0000_t202" style="position:absolute;left:0;text-align:left;margin-left:-2.05pt;margin-top:2.05pt;width:452.9pt;height:227.85pt;z-index:251662336;mso-width-relative:margin;mso-height-relative:margin" fillcolor="white [3201]" strokecolor="#4bacc6 [3208]" strokeweight="1pt">
            <v:stroke dashstyle="dash"/>
            <v:shadow color="#868686"/>
            <v:textbox style="mso-next-textbox:#_x0000_s1167">
              <w:txbxContent>
                <w:p w:rsidR="003F4935" w:rsidRDefault="003F4935" w:rsidP="00DA381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Versuch, in dem Rotkohlsaft als Säure-Base-Indikator verwendet wird, zeigt die ve</w:t>
                  </w:r>
                  <w:r>
                    <w:rPr>
                      <w:color w:val="auto"/>
                    </w:rPr>
                    <w:t>r</w:t>
                  </w:r>
                  <w:r>
                    <w:rPr>
                      <w:color w:val="auto"/>
                    </w:rPr>
                    <w:t xml:space="preserve">schiedenen Farben der Indikatorlösung im sauren, neutralen und alkalischen Milieu. Hierzu werden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bekannte </w:t>
                  </w:r>
                  <w:r w:rsidR="00DA3815">
                    <w:rPr>
                      <w:color w:val="auto"/>
                    </w:rPr>
                    <w:t>Haushaltsprodukte</w:t>
                  </w:r>
                  <w:r>
                    <w:rPr>
                      <w:color w:val="auto"/>
                    </w:rPr>
                    <w:t xml:space="preserve"> verwendet. Er verdeutlicht, dass Ind</w:t>
                  </w:r>
                  <w:r>
                    <w:rPr>
                      <w:color w:val="auto"/>
                    </w:rPr>
                    <w:t>i</w:t>
                  </w:r>
                  <w:r>
                    <w:rPr>
                      <w:color w:val="auto"/>
                    </w:rPr>
                    <w:t xml:space="preserve">katoren Pflanzenfarbstoffe sind. </w:t>
                  </w:r>
                </w:p>
                <w:p w:rsidR="003F4935" w:rsidRDefault="00A27737" w:rsidP="003F493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Der Rotkohlsaft</w:t>
                  </w:r>
                  <w:r w:rsidR="003F4935">
                    <w:rPr>
                      <w:color w:val="auto"/>
                    </w:rPr>
                    <w:t xml:space="preserve"> und die konzentrierten L</w:t>
                  </w:r>
                  <w:r w:rsidR="007779C5">
                    <w:rPr>
                      <w:color w:val="auto"/>
                    </w:rPr>
                    <w:t>ösungen der Haushaltsprodukte</w:t>
                  </w:r>
                  <w:r w:rsidR="003F4935">
                    <w:rPr>
                      <w:color w:val="auto"/>
                    </w:rPr>
                    <w:t xml:space="preserve"> müssen von der Lehrperson vorher vorbereitet werden, um Zeit zu sparen oder mit den </w:t>
                  </w:r>
                  <w:proofErr w:type="spellStart"/>
                  <w:r w:rsidR="003F4935">
                    <w:rPr>
                      <w:color w:val="auto"/>
                    </w:rPr>
                    <w:t>SuS</w:t>
                  </w:r>
                  <w:proofErr w:type="spellEnd"/>
                  <w:r w:rsidR="003F4935">
                    <w:rPr>
                      <w:color w:val="auto"/>
                    </w:rPr>
                    <w:t xml:space="preserve"> zusammen ang</w:t>
                  </w:r>
                  <w:r w:rsidR="003F4935">
                    <w:rPr>
                      <w:color w:val="auto"/>
                    </w:rPr>
                    <w:t>e</w:t>
                  </w:r>
                  <w:r w:rsidR="003F4935">
                    <w:rPr>
                      <w:color w:val="auto"/>
                    </w:rPr>
                    <w:t>setzt we</w:t>
                  </w:r>
                  <w:r w:rsidR="003F4935">
                    <w:rPr>
                      <w:color w:val="auto"/>
                    </w:rPr>
                    <w:t>r</w:t>
                  </w:r>
                  <w:r w:rsidR="003F4935">
                    <w:rPr>
                      <w:color w:val="auto"/>
                    </w:rPr>
                    <w:t>den.</w:t>
                  </w:r>
                </w:p>
                <w:p w:rsidR="003F4935" w:rsidRDefault="003F4935" w:rsidP="003F493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Der Versuch kann auch als Schülerversuch durchgeführt werden, wenn der Rohrreiniger (Ammoniak!) durch eine andere Haushaltschemikalie ersetzt wird. </w:t>
                  </w:r>
                </w:p>
                <w:p w:rsidR="003F4935" w:rsidRDefault="003F4935" w:rsidP="003F4935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Es wird kein spezielles Vorwissen benötigt.</w:t>
                  </w:r>
                </w:p>
                <w:p w:rsidR="003F4935" w:rsidRDefault="003F4935" w:rsidP="003F4935">
                  <w:pPr>
                    <w:rPr>
                      <w:color w:val="auto"/>
                    </w:rPr>
                  </w:pPr>
                </w:p>
                <w:p w:rsidR="003F4935" w:rsidRPr="00111875" w:rsidRDefault="003F4935" w:rsidP="003F4935">
                  <w:pPr>
                    <w:rPr>
                      <w:color w:val="auto"/>
                    </w:rPr>
                  </w:pPr>
                </w:p>
              </w:txbxContent>
            </v:textbox>
            <w10:wrap type="square"/>
          </v:shape>
        </w:pict>
      </w:r>
    </w:p>
    <w:p w:rsidR="003F4935" w:rsidRDefault="003F4935" w:rsidP="003F4935">
      <w:pPr>
        <w:tabs>
          <w:tab w:val="left" w:pos="1701"/>
          <w:tab w:val="left" w:pos="1985"/>
        </w:tabs>
        <w:ind w:left="1980" w:hanging="1980"/>
      </w:pPr>
      <w:r>
        <w:t>Gefahrenstoffe:</w:t>
      </w:r>
      <w:r>
        <w:tab/>
      </w:r>
      <w:r>
        <w:tab/>
        <w:t>Es werden keine Gefahrenstoffe eingesetzt.</w:t>
      </w:r>
    </w:p>
    <w:p w:rsidR="003F4935" w:rsidRDefault="003F4935" w:rsidP="003F493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Messer, Becherglas, Dreifuß mit Drahtnetz, Bunsenbrenner, 6 Reagenzgl</w:t>
      </w:r>
      <w:r>
        <w:t>ä</w:t>
      </w:r>
      <w:r>
        <w:t xml:space="preserve">ser, Reagenzglasgestell, </w:t>
      </w:r>
      <w:proofErr w:type="spellStart"/>
      <w:r>
        <w:t>Pasteurpipetten</w:t>
      </w:r>
      <w:proofErr w:type="spellEnd"/>
      <w:r>
        <w:t xml:space="preserve">, Pipettierhilfe. </w:t>
      </w:r>
    </w:p>
    <w:p w:rsidR="003F4935" w:rsidRPr="00ED07C2" w:rsidRDefault="003F4935" w:rsidP="003F493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Rotkohlblätter, Wasser, Zitronensaft, Essigessenz, Coca Cola, Mineralwa</w:t>
      </w:r>
      <w:r>
        <w:t>s</w:t>
      </w:r>
      <w:r>
        <w:t>ser, Colorwaschmittel, Rohrreiniger.</w:t>
      </w:r>
    </w:p>
    <w:p w:rsidR="003F4935" w:rsidRDefault="003F4935" w:rsidP="003F493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Rotkohlblätter werden klein geschnitten und in Wasser solange g</w:t>
      </w:r>
      <w:r>
        <w:t>e</w:t>
      </w:r>
      <w:r>
        <w:t>kocht, bis eine intensive Färbung entsteht. Die Lösung mit Rotkohl wird a</w:t>
      </w:r>
      <w:r>
        <w:t>b</w:t>
      </w:r>
      <w:r>
        <w:t>gekühlt und dekantiert. Anschließend werden 6 Reagenzgläser etwa 2-3 cm hoch mit dem Rotkohlfarbextrakt gefüllt und jeweils 5-10 Tropfen der g</w:t>
      </w:r>
      <w:r>
        <w:t>e</w:t>
      </w:r>
      <w:r>
        <w:t>sättigten Lösungen der Haushaltschemikalien hinzugegeben.</w:t>
      </w:r>
    </w:p>
    <w:p w:rsidR="003F4935" w:rsidRDefault="003F4935" w:rsidP="003F493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 xml:space="preserve">Die Farbe der Indikatorlösung verändert sich. Die Indikatorlösung ist lila (siehe Abb. 1) und wird nach der Zugabe von Zitronensaft und Essigessenz rot, mit Coca Cola </w:t>
      </w:r>
      <w:proofErr w:type="spellStart"/>
      <w:r>
        <w:t>magenta</w:t>
      </w:r>
      <w:proofErr w:type="spellEnd"/>
      <w:r>
        <w:t>, mit Mineralwasser blau und mit Colorwasc</w:t>
      </w:r>
      <w:r>
        <w:t>h</w:t>
      </w:r>
      <w:r>
        <w:t xml:space="preserve">mittellösung blau-grün und mit Rohrreiniger gelb-grün (siehe Abb. 2). </w:t>
      </w:r>
    </w:p>
    <w:p w:rsidR="003F4935" w:rsidRDefault="003F4935" w:rsidP="003F4935">
      <w:pPr>
        <w:tabs>
          <w:tab w:val="left" w:pos="1701"/>
          <w:tab w:val="left" w:pos="1985"/>
        </w:tabs>
        <w:ind w:left="1980" w:hanging="1980"/>
      </w:pPr>
    </w:p>
    <w:p w:rsidR="003F4935" w:rsidRDefault="003F4935" w:rsidP="003F4935">
      <w:pPr>
        <w:tabs>
          <w:tab w:val="left" w:pos="1701"/>
          <w:tab w:val="left" w:pos="1985"/>
        </w:tabs>
        <w:ind w:left="1980" w:hanging="1980"/>
      </w:pPr>
    </w:p>
    <w:p w:rsidR="003F4935" w:rsidRDefault="003F4935" w:rsidP="003F4935">
      <w:pPr>
        <w:tabs>
          <w:tab w:val="left" w:pos="1701"/>
          <w:tab w:val="left" w:pos="1985"/>
        </w:tabs>
        <w:ind w:left="1980" w:hanging="1980"/>
      </w:pPr>
    </w:p>
    <w:p w:rsidR="003F4935" w:rsidRDefault="003F4935" w:rsidP="003F4935">
      <w:pPr>
        <w:tabs>
          <w:tab w:val="left" w:pos="1701"/>
          <w:tab w:val="left" w:pos="1985"/>
        </w:tabs>
      </w:pPr>
    </w:p>
    <w:p w:rsidR="003F4935" w:rsidRPr="0020080C" w:rsidRDefault="003F4935" w:rsidP="00FD206F">
      <w:pPr>
        <w:keepNext/>
        <w:tabs>
          <w:tab w:val="left" w:pos="1701"/>
          <w:tab w:val="left" w:pos="1985"/>
        </w:tabs>
        <w:spacing w:after="0"/>
        <w:rPr>
          <w:sz w:val="16"/>
          <w:szCs w:val="16"/>
        </w:rPr>
      </w:pPr>
      <w:r>
        <w:rPr>
          <w:noProof/>
          <w:sz w:val="16"/>
          <w:szCs w:val="16"/>
          <w:lang w:eastAsia="de-DE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3672205</wp:posOffset>
            </wp:positionH>
            <wp:positionV relativeFrom="paragraph">
              <wp:posOffset>28575</wp:posOffset>
            </wp:positionV>
            <wp:extent cx="2059305" cy="1656080"/>
            <wp:effectExtent l="19050" t="0" r="0" b="0"/>
            <wp:wrapTight wrapText="bothSides">
              <wp:wrapPolygon edited="0">
                <wp:start x="-200" y="0"/>
                <wp:lineTo x="-200" y="21368"/>
                <wp:lineTo x="21580" y="21368"/>
                <wp:lineTo x="21580" y="0"/>
                <wp:lineTo x="-200" y="0"/>
              </wp:wrapPolygon>
            </wp:wrapTight>
            <wp:docPr id="46" name="Bild 1" descr="F:\DCIM\100SSCAM\S630146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8" name="Grafik 9" descr="F:\DCIM\100SSCAM\S63014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4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30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16"/>
          <w:szCs w:val="16"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1260475</wp:posOffset>
            </wp:positionH>
            <wp:positionV relativeFrom="paragraph">
              <wp:posOffset>28575</wp:posOffset>
            </wp:positionV>
            <wp:extent cx="2077085" cy="1656080"/>
            <wp:effectExtent l="19050" t="0" r="0" b="0"/>
            <wp:wrapTight wrapText="bothSides">
              <wp:wrapPolygon edited="0">
                <wp:start x="-198" y="0"/>
                <wp:lineTo x="-198" y="21368"/>
                <wp:lineTo x="21593" y="21368"/>
                <wp:lineTo x="21593" y="0"/>
                <wp:lineTo x="-198" y="0"/>
              </wp:wrapPolygon>
            </wp:wrapTight>
            <wp:docPr id="47" name="Bild 5" descr="F:\DCIM\100SSCAM\S630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0SSCAM\S6301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3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65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4536"/>
        </w:tabs>
        <w:spacing w:after="0"/>
        <w:jc w:val="left"/>
      </w:pPr>
    </w:p>
    <w:p w:rsidR="003F4935" w:rsidRDefault="003F4935" w:rsidP="003F4935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</w:pPr>
      <w:r>
        <w:tab/>
      </w:r>
    </w:p>
    <w:p w:rsidR="003F4935" w:rsidRDefault="003F4935" w:rsidP="00FD206F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t xml:space="preserve">Abb. 1 - </w:t>
      </w:r>
      <w:r>
        <w:rPr>
          <w:noProof/>
        </w:rPr>
        <w:t>Indikatorlösu</w:t>
      </w:r>
      <w:r w:rsidR="00FD206F">
        <w:rPr>
          <w:noProof/>
        </w:rPr>
        <w:t xml:space="preserve">ng vor der Zugabe der            </w:t>
      </w:r>
      <w:r>
        <w:t xml:space="preserve">Abb. 2 - </w:t>
      </w:r>
      <w:r>
        <w:rPr>
          <w:noProof/>
        </w:rPr>
        <w:t>Indikatorlösung nach der</w:t>
      </w:r>
      <w:r w:rsidRPr="00EF18F9">
        <w:rPr>
          <w:noProof/>
        </w:rPr>
        <w:t xml:space="preserve"> </w:t>
      </w:r>
      <w:r>
        <w:rPr>
          <w:noProof/>
        </w:rPr>
        <w:t>Zugabe</w:t>
      </w:r>
      <w:r>
        <w:rPr>
          <w:noProof/>
        </w:rPr>
        <w:tab/>
        <w:t>sauren, neutralen und</w:t>
      </w:r>
      <w:r w:rsidR="00FD206F">
        <w:rPr>
          <w:noProof/>
        </w:rPr>
        <w:t xml:space="preserve"> alkalischen Lösungen.          </w:t>
      </w:r>
      <w:r>
        <w:rPr>
          <w:noProof/>
        </w:rPr>
        <w:t xml:space="preserve">der sauren, neutralen und alkalischen </w:t>
      </w:r>
    </w:p>
    <w:p w:rsidR="003F4935" w:rsidRDefault="00FD206F" w:rsidP="003F4935">
      <w:pPr>
        <w:pStyle w:val="Beschriftung"/>
        <w:tabs>
          <w:tab w:val="left" w:pos="1985"/>
          <w:tab w:val="left" w:pos="4536"/>
        </w:tabs>
        <w:spacing w:after="0"/>
        <w:ind w:left="1979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          </w:t>
      </w:r>
      <w:r w:rsidR="003F4935">
        <w:rPr>
          <w:noProof/>
        </w:rPr>
        <w:t>Lösungen.</w:t>
      </w:r>
    </w:p>
    <w:p w:rsidR="003F4935" w:rsidRPr="0020080C" w:rsidRDefault="003F4935" w:rsidP="003F4935">
      <w:pPr>
        <w:pStyle w:val="Beschriftung"/>
        <w:tabs>
          <w:tab w:val="left" w:pos="1985"/>
          <w:tab w:val="left" w:pos="4536"/>
        </w:tabs>
        <w:spacing w:after="0"/>
        <w:jc w:val="left"/>
        <w:rPr>
          <w:noProof/>
        </w:rPr>
      </w:pPr>
      <w:r>
        <w:rPr>
          <w:noProof/>
        </w:rPr>
        <w:tab/>
      </w:r>
      <w:r>
        <w:rPr>
          <w:noProof/>
        </w:rPr>
        <w:tab/>
        <w:t xml:space="preserve">                </w:t>
      </w:r>
    </w:p>
    <w:p w:rsidR="003F4935" w:rsidRDefault="003F4935" w:rsidP="003F4935">
      <w:pPr>
        <w:tabs>
          <w:tab w:val="left" w:pos="1701"/>
          <w:tab w:val="left" w:pos="1985"/>
        </w:tabs>
        <w:spacing w:before="200"/>
        <w:ind w:left="1979" w:hanging="1979"/>
        <w:rPr>
          <w:rFonts w:eastAsiaTheme="minorEastAsia"/>
        </w:rPr>
      </w:pPr>
      <w:r>
        <w:t>Deutung:</w:t>
      </w:r>
      <w:r>
        <w:tab/>
      </w:r>
      <w:r>
        <w:tab/>
        <w:t>Zitronensaft</w:t>
      </w:r>
      <w:r w:rsidRPr="00C32ACD">
        <w:t xml:space="preserve"> </w:t>
      </w:r>
      <w:r>
        <w:t>und Essigessenz sind stark sauer, Coca Cola ist schwach sauer, Mineralwasser neutral und Colorwaschmittel und Rohrreiniger sind alk</w:t>
      </w:r>
      <w:r>
        <w:t>a</w:t>
      </w:r>
      <w:r>
        <w:t>lisch. Rotkohlsaft kann anzeigen, ob eine Lösung sauer, neutral oder alk</w:t>
      </w:r>
      <w:r>
        <w:t>a</w:t>
      </w:r>
      <w:r>
        <w:t xml:space="preserve">lisch sind. Er hat sogar zwei Umschlagsbereiche, einen im sauren (pH = 4) und einen im alkalischen Milieu (pH = 7). </w:t>
      </w:r>
    </w:p>
    <w:p w:rsidR="003F4935" w:rsidRDefault="003F4935" w:rsidP="003F4935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rPr>
          <w:rFonts w:eastAsiaTheme="minorEastAsia"/>
        </w:rPr>
        <w:t>Entsorgung:</w:t>
      </w:r>
      <w:r>
        <w:rPr>
          <w:rFonts w:eastAsiaTheme="minorEastAsia"/>
        </w:rPr>
        <w:tab/>
      </w:r>
      <w:r>
        <w:rPr>
          <w:rFonts w:eastAsiaTheme="minorEastAsia"/>
        </w:rPr>
        <w:tab/>
        <w:t>Die Lösungen werden über das Abwasser entsorgt.</w:t>
      </w:r>
    </w:p>
    <w:p w:rsidR="003F4935" w:rsidRPr="002A23AB" w:rsidRDefault="003F4935" w:rsidP="003F4935">
      <w:pPr>
        <w:tabs>
          <w:tab w:val="left" w:pos="1701"/>
          <w:tab w:val="left" w:pos="1985"/>
        </w:tabs>
        <w:ind w:left="1980" w:hanging="1980"/>
      </w:pPr>
      <w:r>
        <w:rPr>
          <w:rFonts w:eastAsiaTheme="minorEastAsia"/>
        </w:rPr>
        <w:t>Literatur:</w:t>
      </w:r>
      <w:r>
        <w:rPr>
          <w:rFonts w:eastAsiaTheme="minorEastAsia"/>
        </w:rPr>
        <w:tab/>
      </w:r>
      <w:r>
        <w:rPr>
          <w:rFonts w:eastAsiaTheme="minorEastAsia"/>
        </w:rPr>
        <w:tab/>
      </w:r>
      <w:r>
        <w:t xml:space="preserve">M. </w:t>
      </w:r>
      <w:proofErr w:type="spellStart"/>
      <w:r>
        <w:t>Northolz</w:t>
      </w:r>
      <w:proofErr w:type="spellEnd"/>
      <w:r>
        <w:t>, &amp; R. Herbst-Irmer, Praktikumsskript „Allgemeine und Anorg</w:t>
      </w:r>
      <w:r>
        <w:t>a</w:t>
      </w:r>
      <w:r>
        <w:t xml:space="preserve">nische Chemie“, </w:t>
      </w:r>
      <w:proofErr w:type="spellStart"/>
      <w:r>
        <w:t>WiSe</w:t>
      </w:r>
      <w:proofErr w:type="spellEnd"/>
      <w:r>
        <w:t xml:space="preserve"> 2009/2010, Göttingen: Universität Göttingen, S. 76.</w:t>
      </w:r>
    </w:p>
    <w:p w:rsidR="00F74A95" w:rsidRPr="003F4935" w:rsidRDefault="0040048C" w:rsidP="003F4935">
      <w:r>
        <w:pict>
          <v:shape id="_x0000_s1168" type="#_x0000_t202" style="width:453pt;height:216.7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168">
              <w:txbxContent>
                <w:p w:rsidR="003F4935" w:rsidRDefault="003F4935" w:rsidP="003F4935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 xml:space="preserve">Die farbigen Lösungen können entsprechend ihrer Farbe und Säurestärke geordnet werden, wodurch eine „Farborgel“ erhalten wird. </w:t>
                  </w:r>
                </w:p>
                <w:p w:rsidR="003F4935" w:rsidRDefault="003F4935" w:rsidP="003F4935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>Vor Zugabe der Lösungen in die Indikatorlösung kann der pH</w:t>
                  </w:r>
                  <w:r>
                    <w:rPr>
                      <w:bCs/>
                      <w:color w:val="auto"/>
                    </w:rPr>
                    <w:noBreakHyphen/>
                    <w:t xml:space="preserve">Wert der einzelnen Lösungen noch ergänzend mithilfe von Indikatorpapier bestimmt werden. </w:t>
                  </w:r>
                  <w:r w:rsidRPr="00E34C5E">
                    <w:rPr>
                      <w:bCs/>
                      <w:color w:val="auto"/>
                    </w:rPr>
                    <w:t xml:space="preserve">Der Versuch kann </w:t>
                  </w:r>
                  <w:r>
                    <w:rPr>
                      <w:bCs/>
                      <w:color w:val="auto"/>
                    </w:rPr>
                    <w:t xml:space="preserve">alternativ </w:t>
                  </w:r>
                  <w:r w:rsidRPr="00E34C5E">
                    <w:rPr>
                      <w:bCs/>
                      <w:color w:val="auto"/>
                    </w:rPr>
                    <w:t xml:space="preserve">mit anderen </w:t>
                  </w:r>
                  <w:r>
                    <w:rPr>
                      <w:bCs/>
                      <w:color w:val="auto"/>
                    </w:rPr>
                    <w:t xml:space="preserve">Haushalts- und Lebensmitteln wie Backpulver sowie mit anderen Indikatoren wie </w:t>
                  </w:r>
                  <w:proofErr w:type="spellStart"/>
                  <w:r>
                    <w:rPr>
                      <w:bCs/>
                      <w:color w:val="auto"/>
                    </w:rPr>
                    <w:t>Radieschensaft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, Rote Beete-Saft und Kurkuma durchgeführt werden. </w:t>
                  </w:r>
                </w:p>
                <w:p w:rsidR="003F4935" w:rsidRPr="00E34C5E" w:rsidRDefault="003F4935" w:rsidP="003F4935">
                  <w:pPr>
                    <w:rPr>
                      <w:bCs/>
                      <w:color w:val="auto"/>
                    </w:rPr>
                  </w:pPr>
                  <w:r>
                    <w:rPr>
                      <w:bCs/>
                      <w:color w:val="auto"/>
                    </w:rPr>
                    <w:t xml:space="preserve">Er kann als Bestätigungsexperiment eingesetzt werden, nachdem die </w:t>
                  </w:r>
                  <w:proofErr w:type="spellStart"/>
                  <w:r>
                    <w:rPr>
                      <w:bCs/>
                      <w:color w:val="auto"/>
                    </w:rPr>
                    <w:t>SuS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 Hypothesen zur Frage „Was passiert, wenn saure, neutrale und alkalische Lösungen von Haushaltschemik</w:t>
                  </w:r>
                  <w:r>
                    <w:rPr>
                      <w:bCs/>
                      <w:color w:val="auto"/>
                    </w:rPr>
                    <w:t>a</w:t>
                  </w:r>
                  <w:r>
                    <w:rPr>
                      <w:bCs/>
                      <w:color w:val="auto"/>
                    </w:rPr>
                    <w:t xml:space="preserve">lien zu Rotkohlsaft gegeben werden?“, da er aufgrund der Verwendung von alltagsnahen Chemikalien an das Vorwissen der </w:t>
                  </w:r>
                  <w:proofErr w:type="spellStart"/>
                  <w:r>
                    <w:rPr>
                      <w:bCs/>
                      <w:color w:val="auto"/>
                    </w:rPr>
                    <w:t>SuS</w:t>
                  </w:r>
                  <w:proofErr w:type="spellEnd"/>
                  <w:r>
                    <w:rPr>
                      <w:bCs/>
                      <w:color w:val="auto"/>
                    </w:rPr>
                    <w:t xml:space="preserve"> anknüpft. </w:t>
                  </w:r>
                </w:p>
                <w:p w:rsidR="003F4935" w:rsidRPr="00E34C5E" w:rsidRDefault="003F4935" w:rsidP="003F4935">
                  <w:pPr>
                    <w:rPr>
                      <w:bCs/>
                      <w:color w:val="auto"/>
                    </w:rPr>
                  </w:pPr>
                </w:p>
              </w:txbxContent>
            </v:textbox>
            <w10:wrap type="none"/>
            <w10:anchorlock/>
          </v:shape>
        </w:pict>
      </w:r>
    </w:p>
    <w:sectPr w:rsidR="00F74A95" w:rsidRPr="003F4935" w:rsidSect="005B0270">
      <w:headerReference w:type="default" r:id="rId10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423" w:rsidRDefault="00B80423" w:rsidP="0086227B">
      <w:pPr>
        <w:spacing w:after="0" w:line="240" w:lineRule="auto"/>
      </w:pPr>
      <w:r>
        <w:separator/>
      </w:r>
    </w:p>
  </w:endnote>
  <w:endnote w:type="continuationSeparator" w:id="0">
    <w:p w:rsidR="00B80423" w:rsidRDefault="00B80423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423" w:rsidRDefault="00B80423" w:rsidP="0086227B">
      <w:pPr>
        <w:spacing w:after="0" w:line="240" w:lineRule="auto"/>
      </w:pPr>
      <w:r>
        <w:separator/>
      </w:r>
    </w:p>
  </w:footnote>
  <w:footnote w:type="continuationSeparator" w:id="0">
    <w:p w:rsidR="00B80423" w:rsidRDefault="00B80423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Content>
      <w:p w:rsidR="00690D42" w:rsidRPr="0080101C" w:rsidRDefault="0040048C" w:rsidP="008A0FFF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 \* MERGEFORMAT ">
          <w:r w:rsidR="007779C5">
            <w:rPr>
              <w:noProof/>
            </w:rPr>
            <w:t>LV – Nachweis von sauren, neutralen und alkalischen Lösungen</w:t>
          </w:r>
        </w:fldSimple>
        <w:r w:rsidR="006A5C64">
          <w:tab/>
        </w:r>
        <w:r w:rsidRPr="0080101C">
          <w:rPr>
            <w:rFonts w:asciiTheme="majorHAnsi" w:hAnsiTheme="majorHAnsi"/>
            <w:sz w:val="20"/>
            <w:szCs w:val="20"/>
          </w:rPr>
          <w:fldChar w:fldCharType="begin"/>
        </w:r>
        <w:r w:rsidR="008A0FFF" w:rsidRPr="0080101C">
          <w:rPr>
            <w:rFonts w:asciiTheme="majorHAnsi" w:hAnsiTheme="majorHAnsi"/>
            <w:sz w:val="20"/>
            <w:szCs w:val="20"/>
          </w:rPr>
          <w:instrText xml:space="preserve"> PAGE   \* MERGEFORMAT </w:instrText>
        </w:r>
        <w:r w:rsidRPr="0080101C">
          <w:rPr>
            <w:rFonts w:asciiTheme="majorHAnsi" w:hAnsiTheme="majorHAnsi"/>
            <w:sz w:val="20"/>
            <w:szCs w:val="20"/>
          </w:rPr>
          <w:fldChar w:fldCharType="separate"/>
        </w:r>
        <w:r w:rsidR="007779C5">
          <w:rPr>
            <w:rFonts w:asciiTheme="majorHAnsi" w:hAnsiTheme="majorHAnsi"/>
            <w:noProof/>
            <w:sz w:val="20"/>
            <w:szCs w:val="20"/>
          </w:rPr>
          <w:t>1</w:t>
        </w:r>
        <w:r w:rsidRPr="0080101C">
          <w:rPr>
            <w:rFonts w:asciiTheme="majorHAnsi" w:hAnsiTheme="majorHAnsi"/>
            <w:sz w:val="20"/>
            <w:szCs w:val="20"/>
          </w:rPr>
          <w:fldChar w:fldCharType="end"/>
        </w:r>
        <w:r w:rsidR="008A0FFF"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/>
            <w:sz w:val="20"/>
            <w:szCs w:val="20"/>
          </w:rPr>
          <w:tab/>
        </w:r>
        <w:r w:rsidR="00690D42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690D42" w:rsidRPr="0080101C" w:rsidRDefault="0040048C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left:0;text-align:left;margin-left:-3.35pt;margin-top:3.05pt;width:462pt;height:.05pt;flip:x;z-index:251666432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0962"/>
    <o:shapelayout v:ext="edit">
      <o:idmap v:ext="edit" data="2"/>
      <o:rules v:ext="edit">
        <o:r id="V:Rule2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5197"/>
    <w:rsid w:val="000073F3"/>
    <w:rsid w:val="00007E3F"/>
    <w:rsid w:val="00011800"/>
    <w:rsid w:val="0001297F"/>
    <w:rsid w:val="000137A3"/>
    <w:rsid w:val="00013CCF"/>
    <w:rsid w:val="00014E7D"/>
    <w:rsid w:val="00015FE6"/>
    <w:rsid w:val="00020F27"/>
    <w:rsid w:val="00022871"/>
    <w:rsid w:val="0003145F"/>
    <w:rsid w:val="00034864"/>
    <w:rsid w:val="00037EEB"/>
    <w:rsid w:val="00041562"/>
    <w:rsid w:val="00044334"/>
    <w:rsid w:val="000465E6"/>
    <w:rsid w:val="00056798"/>
    <w:rsid w:val="00061979"/>
    <w:rsid w:val="0006287D"/>
    <w:rsid w:val="0006684E"/>
    <w:rsid w:val="00066DE1"/>
    <w:rsid w:val="00067AEC"/>
    <w:rsid w:val="0007005A"/>
    <w:rsid w:val="00072812"/>
    <w:rsid w:val="00073F1E"/>
    <w:rsid w:val="000745CC"/>
    <w:rsid w:val="00074A34"/>
    <w:rsid w:val="00074BC0"/>
    <w:rsid w:val="0007697C"/>
    <w:rsid w:val="0007729E"/>
    <w:rsid w:val="000800BB"/>
    <w:rsid w:val="00080AEF"/>
    <w:rsid w:val="00083586"/>
    <w:rsid w:val="000835D3"/>
    <w:rsid w:val="00084850"/>
    <w:rsid w:val="00087B18"/>
    <w:rsid w:val="00090175"/>
    <w:rsid w:val="000969FD"/>
    <w:rsid w:val="000972FF"/>
    <w:rsid w:val="0009736D"/>
    <w:rsid w:val="000A7709"/>
    <w:rsid w:val="000B0523"/>
    <w:rsid w:val="000B6ECC"/>
    <w:rsid w:val="000C4EB4"/>
    <w:rsid w:val="000D10FB"/>
    <w:rsid w:val="000D2C37"/>
    <w:rsid w:val="000D5E4A"/>
    <w:rsid w:val="000D63D8"/>
    <w:rsid w:val="000D7381"/>
    <w:rsid w:val="000E0EBE"/>
    <w:rsid w:val="000E21A7"/>
    <w:rsid w:val="000E5561"/>
    <w:rsid w:val="000E7DB1"/>
    <w:rsid w:val="000F5EEC"/>
    <w:rsid w:val="00102222"/>
    <w:rsid w:val="001022B4"/>
    <w:rsid w:val="0010790B"/>
    <w:rsid w:val="00115A1D"/>
    <w:rsid w:val="00117118"/>
    <w:rsid w:val="0012481E"/>
    <w:rsid w:val="00125CEA"/>
    <w:rsid w:val="00126F97"/>
    <w:rsid w:val="0012753E"/>
    <w:rsid w:val="00130926"/>
    <w:rsid w:val="00134644"/>
    <w:rsid w:val="00134944"/>
    <w:rsid w:val="0013621E"/>
    <w:rsid w:val="00141396"/>
    <w:rsid w:val="0014467A"/>
    <w:rsid w:val="00147AF4"/>
    <w:rsid w:val="00153EA8"/>
    <w:rsid w:val="001547EA"/>
    <w:rsid w:val="00154F00"/>
    <w:rsid w:val="00155DBB"/>
    <w:rsid w:val="001572BB"/>
    <w:rsid w:val="00157F3D"/>
    <w:rsid w:val="00157FA0"/>
    <w:rsid w:val="001607D1"/>
    <w:rsid w:val="00163DEC"/>
    <w:rsid w:val="0017181F"/>
    <w:rsid w:val="0018293C"/>
    <w:rsid w:val="001948DD"/>
    <w:rsid w:val="00194CAD"/>
    <w:rsid w:val="001A546C"/>
    <w:rsid w:val="001A7524"/>
    <w:rsid w:val="001B46E0"/>
    <w:rsid w:val="001B4A83"/>
    <w:rsid w:val="001B4CAF"/>
    <w:rsid w:val="001C0C2D"/>
    <w:rsid w:val="001C5EFC"/>
    <w:rsid w:val="001D0BA2"/>
    <w:rsid w:val="001D4541"/>
    <w:rsid w:val="001D5CC5"/>
    <w:rsid w:val="001E4D4C"/>
    <w:rsid w:val="001E649D"/>
    <w:rsid w:val="001F0876"/>
    <w:rsid w:val="001F26A1"/>
    <w:rsid w:val="001F400A"/>
    <w:rsid w:val="00200DC3"/>
    <w:rsid w:val="002019A3"/>
    <w:rsid w:val="00202025"/>
    <w:rsid w:val="00206D6B"/>
    <w:rsid w:val="00211BB4"/>
    <w:rsid w:val="00216E3C"/>
    <w:rsid w:val="00217853"/>
    <w:rsid w:val="002206F9"/>
    <w:rsid w:val="002208FB"/>
    <w:rsid w:val="00224766"/>
    <w:rsid w:val="0022554F"/>
    <w:rsid w:val="002274F3"/>
    <w:rsid w:val="00230C6E"/>
    <w:rsid w:val="0023241F"/>
    <w:rsid w:val="002347FE"/>
    <w:rsid w:val="002348B5"/>
    <w:rsid w:val="00234A17"/>
    <w:rsid w:val="002375EF"/>
    <w:rsid w:val="00237984"/>
    <w:rsid w:val="002424A9"/>
    <w:rsid w:val="0024324F"/>
    <w:rsid w:val="00246280"/>
    <w:rsid w:val="00251BD1"/>
    <w:rsid w:val="00253CA5"/>
    <w:rsid w:val="00254369"/>
    <w:rsid w:val="00254F3F"/>
    <w:rsid w:val="00260C01"/>
    <w:rsid w:val="0026285C"/>
    <w:rsid w:val="00262C39"/>
    <w:rsid w:val="0026410F"/>
    <w:rsid w:val="0026441B"/>
    <w:rsid w:val="00264F81"/>
    <w:rsid w:val="00270289"/>
    <w:rsid w:val="002742C8"/>
    <w:rsid w:val="0028080E"/>
    <w:rsid w:val="0028646F"/>
    <w:rsid w:val="00287018"/>
    <w:rsid w:val="0028750E"/>
    <w:rsid w:val="00292325"/>
    <w:rsid w:val="002944CF"/>
    <w:rsid w:val="00297F73"/>
    <w:rsid w:val="002A00AA"/>
    <w:rsid w:val="002A1B64"/>
    <w:rsid w:val="002A413B"/>
    <w:rsid w:val="002A716F"/>
    <w:rsid w:val="002A7855"/>
    <w:rsid w:val="002B041D"/>
    <w:rsid w:val="002B0B14"/>
    <w:rsid w:val="002C014B"/>
    <w:rsid w:val="002C073B"/>
    <w:rsid w:val="002C502E"/>
    <w:rsid w:val="002C5903"/>
    <w:rsid w:val="002D4D9A"/>
    <w:rsid w:val="002D660E"/>
    <w:rsid w:val="002D7AB9"/>
    <w:rsid w:val="002E0F34"/>
    <w:rsid w:val="002E19E0"/>
    <w:rsid w:val="002E1F0A"/>
    <w:rsid w:val="002E2DD3"/>
    <w:rsid w:val="002E38A0"/>
    <w:rsid w:val="002E4B9C"/>
    <w:rsid w:val="002E5FCC"/>
    <w:rsid w:val="002F25D2"/>
    <w:rsid w:val="002F38EE"/>
    <w:rsid w:val="002F3A13"/>
    <w:rsid w:val="002F7C9B"/>
    <w:rsid w:val="00300C2B"/>
    <w:rsid w:val="00301101"/>
    <w:rsid w:val="00307C0D"/>
    <w:rsid w:val="003113B2"/>
    <w:rsid w:val="0031620D"/>
    <w:rsid w:val="00331C46"/>
    <w:rsid w:val="00333E0D"/>
    <w:rsid w:val="0033677B"/>
    <w:rsid w:val="00336B3B"/>
    <w:rsid w:val="00336F49"/>
    <w:rsid w:val="00337B69"/>
    <w:rsid w:val="00337F0A"/>
    <w:rsid w:val="00340D88"/>
    <w:rsid w:val="00344BB7"/>
    <w:rsid w:val="0034518F"/>
    <w:rsid w:val="00345293"/>
    <w:rsid w:val="00345F54"/>
    <w:rsid w:val="003511FC"/>
    <w:rsid w:val="00353D44"/>
    <w:rsid w:val="00362A36"/>
    <w:rsid w:val="003655AA"/>
    <w:rsid w:val="003731AC"/>
    <w:rsid w:val="0037651E"/>
    <w:rsid w:val="00377662"/>
    <w:rsid w:val="00381C71"/>
    <w:rsid w:val="0038284A"/>
    <w:rsid w:val="003837C2"/>
    <w:rsid w:val="00384682"/>
    <w:rsid w:val="00394F50"/>
    <w:rsid w:val="003975AD"/>
    <w:rsid w:val="003A4BB9"/>
    <w:rsid w:val="003A5F2C"/>
    <w:rsid w:val="003B10F6"/>
    <w:rsid w:val="003B45A9"/>
    <w:rsid w:val="003B45C5"/>
    <w:rsid w:val="003B49C6"/>
    <w:rsid w:val="003B5D0E"/>
    <w:rsid w:val="003C0911"/>
    <w:rsid w:val="003C3273"/>
    <w:rsid w:val="003C53A1"/>
    <w:rsid w:val="003C5747"/>
    <w:rsid w:val="003C7DC3"/>
    <w:rsid w:val="003D529E"/>
    <w:rsid w:val="003D6348"/>
    <w:rsid w:val="003E69AB"/>
    <w:rsid w:val="003E76BB"/>
    <w:rsid w:val="003F36BC"/>
    <w:rsid w:val="003F373A"/>
    <w:rsid w:val="003F48E2"/>
    <w:rsid w:val="003F4935"/>
    <w:rsid w:val="0040048C"/>
    <w:rsid w:val="00401750"/>
    <w:rsid w:val="00401E11"/>
    <w:rsid w:val="0040673F"/>
    <w:rsid w:val="004102B8"/>
    <w:rsid w:val="00411474"/>
    <w:rsid w:val="004131F0"/>
    <w:rsid w:val="004140D0"/>
    <w:rsid w:val="004146B3"/>
    <w:rsid w:val="00414AC4"/>
    <w:rsid w:val="00415055"/>
    <w:rsid w:val="0041565C"/>
    <w:rsid w:val="00415B54"/>
    <w:rsid w:val="00424710"/>
    <w:rsid w:val="004260C5"/>
    <w:rsid w:val="00426D61"/>
    <w:rsid w:val="0042755B"/>
    <w:rsid w:val="00431EAC"/>
    <w:rsid w:val="00433B0B"/>
    <w:rsid w:val="00434CE8"/>
    <w:rsid w:val="00434D4E"/>
    <w:rsid w:val="00434F30"/>
    <w:rsid w:val="00442463"/>
    <w:rsid w:val="00442EB1"/>
    <w:rsid w:val="00450BE5"/>
    <w:rsid w:val="0045667F"/>
    <w:rsid w:val="00460821"/>
    <w:rsid w:val="00465ADE"/>
    <w:rsid w:val="00466A85"/>
    <w:rsid w:val="0046759B"/>
    <w:rsid w:val="00471B47"/>
    <w:rsid w:val="00471FC3"/>
    <w:rsid w:val="00473641"/>
    <w:rsid w:val="00473827"/>
    <w:rsid w:val="00476353"/>
    <w:rsid w:val="00477DE8"/>
    <w:rsid w:val="00486C9F"/>
    <w:rsid w:val="0049087A"/>
    <w:rsid w:val="004927CA"/>
    <w:rsid w:val="004944F3"/>
    <w:rsid w:val="004950AC"/>
    <w:rsid w:val="004A2E9D"/>
    <w:rsid w:val="004A7057"/>
    <w:rsid w:val="004B03E9"/>
    <w:rsid w:val="004B200E"/>
    <w:rsid w:val="004B3E0E"/>
    <w:rsid w:val="004C64A6"/>
    <w:rsid w:val="004C690C"/>
    <w:rsid w:val="004D2994"/>
    <w:rsid w:val="004D321A"/>
    <w:rsid w:val="004F1A17"/>
    <w:rsid w:val="004F7813"/>
    <w:rsid w:val="0050117F"/>
    <w:rsid w:val="00503C6A"/>
    <w:rsid w:val="005050BA"/>
    <w:rsid w:val="0050605E"/>
    <w:rsid w:val="005115B1"/>
    <w:rsid w:val="00511B2E"/>
    <w:rsid w:val="005131C3"/>
    <w:rsid w:val="00514936"/>
    <w:rsid w:val="00515255"/>
    <w:rsid w:val="005228A9"/>
    <w:rsid w:val="005231C7"/>
    <w:rsid w:val="00523D07"/>
    <w:rsid w:val="005240FE"/>
    <w:rsid w:val="0052649F"/>
    <w:rsid w:val="00526F69"/>
    <w:rsid w:val="005307B8"/>
    <w:rsid w:val="00530A18"/>
    <w:rsid w:val="00532CD5"/>
    <w:rsid w:val="00536C80"/>
    <w:rsid w:val="00541890"/>
    <w:rsid w:val="00542D1B"/>
    <w:rsid w:val="00544922"/>
    <w:rsid w:val="0054721C"/>
    <w:rsid w:val="00547D40"/>
    <w:rsid w:val="00550BAB"/>
    <w:rsid w:val="00550FB8"/>
    <w:rsid w:val="005511E2"/>
    <w:rsid w:val="005575CF"/>
    <w:rsid w:val="005613ED"/>
    <w:rsid w:val="005650D4"/>
    <w:rsid w:val="00565E95"/>
    <w:rsid w:val="005669B2"/>
    <w:rsid w:val="005701B3"/>
    <w:rsid w:val="0057248F"/>
    <w:rsid w:val="00572A12"/>
    <w:rsid w:val="00573704"/>
    <w:rsid w:val="00574063"/>
    <w:rsid w:val="005745F8"/>
    <w:rsid w:val="0057596C"/>
    <w:rsid w:val="00576C62"/>
    <w:rsid w:val="00585DB4"/>
    <w:rsid w:val="00591B02"/>
    <w:rsid w:val="00595177"/>
    <w:rsid w:val="005978FA"/>
    <w:rsid w:val="005A2E89"/>
    <w:rsid w:val="005A69CD"/>
    <w:rsid w:val="005B0270"/>
    <w:rsid w:val="005B1F71"/>
    <w:rsid w:val="005B23FC"/>
    <w:rsid w:val="005B52EE"/>
    <w:rsid w:val="005B60E3"/>
    <w:rsid w:val="005C0A4E"/>
    <w:rsid w:val="005C1465"/>
    <w:rsid w:val="005D1568"/>
    <w:rsid w:val="005E1939"/>
    <w:rsid w:val="005E3970"/>
    <w:rsid w:val="005F2176"/>
    <w:rsid w:val="00600EB1"/>
    <w:rsid w:val="00602079"/>
    <w:rsid w:val="00613697"/>
    <w:rsid w:val="00621CF3"/>
    <w:rsid w:val="00626874"/>
    <w:rsid w:val="00631F0F"/>
    <w:rsid w:val="00636C4B"/>
    <w:rsid w:val="00637239"/>
    <w:rsid w:val="0063723F"/>
    <w:rsid w:val="00654117"/>
    <w:rsid w:val="006556C0"/>
    <w:rsid w:val="00655EBD"/>
    <w:rsid w:val="00662449"/>
    <w:rsid w:val="00672281"/>
    <w:rsid w:val="0067740A"/>
    <w:rsid w:val="00681739"/>
    <w:rsid w:val="00690534"/>
    <w:rsid w:val="00690B64"/>
    <w:rsid w:val="00690D42"/>
    <w:rsid w:val="006911F2"/>
    <w:rsid w:val="006915BE"/>
    <w:rsid w:val="00692A25"/>
    <w:rsid w:val="006943C9"/>
    <w:rsid w:val="006968E6"/>
    <w:rsid w:val="006A0F35"/>
    <w:rsid w:val="006A2513"/>
    <w:rsid w:val="006A4940"/>
    <w:rsid w:val="006A5C64"/>
    <w:rsid w:val="006A7EEF"/>
    <w:rsid w:val="006B0A0A"/>
    <w:rsid w:val="006B163A"/>
    <w:rsid w:val="006B3EC2"/>
    <w:rsid w:val="006B6499"/>
    <w:rsid w:val="006C188A"/>
    <w:rsid w:val="006C295A"/>
    <w:rsid w:val="006C3E52"/>
    <w:rsid w:val="006C5B0D"/>
    <w:rsid w:val="006C7B24"/>
    <w:rsid w:val="006D07D7"/>
    <w:rsid w:val="006D2E57"/>
    <w:rsid w:val="006E32AF"/>
    <w:rsid w:val="006E451C"/>
    <w:rsid w:val="006E4DDC"/>
    <w:rsid w:val="006F1056"/>
    <w:rsid w:val="006F20DD"/>
    <w:rsid w:val="006F2170"/>
    <w:rsid w:val="006F4715"/>
    <w:rsid w:val="006F5FE6"/>
    <w:rsid w:val="007003B7"/>
    <w:rsid w:val="007006FD"/>
    <w:rsid w:val="007008C7"/>
    <w:rsid w:val="00701D30"/>
    <w:rsid w:val="00703E7E"/>
    <w:rsid w:val="00706F75"/>
    <w:rsid w:val="00707392"/>
    <w:rsid w:val="00716BC6"/>
    <w:rsid w:val="00716F9D"/>
    <w:rsid w:val="0072123D"/>
    <w:rsid w:val="007251BF"/>
    <w:rsid w:val="00730AF6"/>
    <w:rsid w:val="0073199F"/>
    <w:rsid w:val="0073378E"/>
    <w:rsid w:val="00733E19"/>
    <w:rsid w:val="00734E7B"/>
    <w:rsid w:val="00744132"/>
    <w:rsid w:val="00746773"/>
    <w:rsid w:val="00750C7B"/>
    <w:rsid w:val="00751311"/>
    <w:rsid w:val="00753D91"/>
    <w:rsid w:val="00754608"/>
    <w:rsid w:val="00755E88"/>
    <w:rsid w:val="007570E0"/>
    <w:rsid w:val="00762E50"/>
    <w:rsid w:val="00767DFA"/>
    <w:rsid w:val="00773ABF"/>
    <w:rsid w:val="00775EEC"/>
    <w:rsid w:val="007779C5"/>
    <w:rsid w:val="0078071E"/>
    <w:rsid w:val="00790CE3"/>
    <w:rsid w:val="00790D3B"/>
    <w:rsid w:val="007A008B"/>
    <w:rsid w:val="007A2279"/>
    <w:rsid w:val="007A3A73"/>
    <w:rsid w:val="007A3D69"/>
    <w:rsid w:val="007A5537"/>
    <w:rsid w:val="007A5609"/>
    <w:rsid w:val="007A7FA8"/>
    <w:rsid w:val="007B0CC4"/>
    <w:rsid w:val="007B4159"/>
    <w:rsid w:val="007B472B"/>
    <w:rsid w:val="007B7E3B"/>
    <w:rsid w:val="007C1E3B"/>
    <w:rsid w:val="007C3C27"/>
    <w:rsid w:val="007C4DEC"/>
    <w:rsid w:val="007C53F0"/>
    <w:rsid w:val="007C57C8"/>
    <w:rsid w:val="007C5ADA"/>
    <w:rsid w:val="007D0888"/>
    <w:rsid w:val="007D4AA2"/>
    <w:rsid w:val="007E3A6D"/>
    <w:rsid w:val="007E3AB0"/>
    <w:rsid w:val="007E46C1"/>
    <w:rsid w:val="007E4C24"/>
    <w:rsid w:val="007E586C"/>
    <w:rsid w:val="007E7412"/>
    <w:rsid w:val="007F2348"/>
    <w:rsid w:val="00801678"/>
    <w:rsid w:val="008042F5"/>
    <w:rsid w:val="00810F81"/>
    <w:rsid w:val="00814B3A"/>
    <w:rsid w:val="00815FB9"/>
    <w:rsid w:val="0082145D"/>
    <w:rsid w:val="0082230A"/>
    <w:rsid w:val="0082415E"/>
    <w:rsid w:val="00825D9C"/>
    <w:rsid w:val="00833A90"/>
    <w:rsid w:val="00837114"/>
    <w:rsid w:val="00837C2A"/>
    <w:rsid w:val="00854DCB"/>
    <w:rsid w:val="00855883"/>
    <w:rsid w:val="00856B47"/>
    <w:rsid w:val="00860696"/>
    <w:rsid w:val="00861541"/>
    <w:rsid w:val="0086227B"/>
    <w:rsid w:val="00863492"/>
    <w:rsid w:val="00864739"/>
    <w:rsid w:val="00865826"/>
    <w:rsid w:val="008664DF"/>
    <w:rsid w:val="00867697"/>
    <w:rsid w:val="008747F7"/>
    <w:rsid w:val="00875E5B"/>
    <w:rsid w:val="008838B4"/>
    <w:rsid w:val="0088451A"/>
    <w:rsid w:val="00886EE0"/>
    <w:rsid w:val="00891076"/>
    <w:rsid w:val="00896D5A"/>
    <w:rsid w:val="008A08CD"/>
    <w:rsid w:val="008A0FFF"/>
    <w:rsid w:val="008A5D98"/>
    <w:rsid w:val="008B2284"/>
    <w:rsid w:val="008B4459"/>
    <w:rsid w:val="008B4F90"/>
    <w:rsid w:val="008B5C95"/>
    <w:rsid w:val="008B7FD6"/>
    <w:rsid w:val="008C1797"/>
    <w:rsid w:val="008C3B07"/>
    <w:rsid w:val="008C683A"/>
    <w:rsid w:val="008C71EE"/>
    <w:rsid w:val="008D0ED6"/>
    <w:rsid w:val="008D6575"/>
    <w:rsid w:val="008D67B2"/>
    <w:rsid w:val="008D7316"/>
    <w:rsid w:val="008E12F8"/>
    <w:rsid w:val="008E1A25"/>
    <w:rsid w:val="008E345D"/>
    <w:rsid w:val="008E74FA"/>
    <w:rsid w:val="008F000A"/>
    <w:rsid w:val="008F0054"/>
    <w:rsid w:val="008F0C5F"/>
    <w:rsid w:val="008F6888"/>
    <w:rsid w:val="009031AA"/>
    <w:rsid w:val="00905459"/>
    <w:rsid w:val="00907313"/>
    <w:rsid w:val="0091057C"/>
    <w:rsid w:val="00912120"/>
    <w:rsid w:val="00913D97"/>
    <w:rsid w:val="00916132"/>
    <w:rsid w:val="00923281"/>
    <w:rsid w:val="00931AE7"/>
    <w:rsid w:val="00936F75"/>
    <w:rsid w:val="0094350A"/>
    <w:rsid w:val="009438E9"/>
    <w:rsid w:val="00944732"/>
    <w:rsid w:val="00946299"/>
    <w:rsid w:val="00946F4E"/>
    <w:rsid w:val="00947D27"/>
    <w:rsid w:val="0095084C"/>
    <w:rsid w:val="00952876"/>
    <w:rsid w:val="00954DC8"/>
    <w:rsid w:val="00955318"/>
    <w:rsid w:val="00956150"/>
    <w:rsid w:val="00960DE9"/>
    <w:rsid w:val="00961647"/>
    <w:rsid w:val="00967575"/>
    <w:rsid w:val="00971E91"/>
    <w:rsid w:val="00972682"/>
    <w:rsid w:val="009735A3"/>
    <w:rsid w:val="00973F3F"/>
    <w:rsid w:val="009775D7"/>
    <w:rsid w:val="00977ED8"/>
    <w:rsid w:val="009807E1"/>
    <w:rsid w:val="0098168E"/>
    <w:rsid w:val="00982C9B"/>
    <w:rsid w:val="00984EF9"/>
    <w:rsid w:val="00985145"/>
    <w:rsid w:val="00986FD5"/>
    <w:rsid w:val="009906F7"/>
    <w:rsid w:val="00992F5F"/>
    <w:rsid w:val="00993407"/>
    <w:rsid w:val="00994634"/>
    <w:rsid w:val="00994BEC"/>
    <w:rsid w:val="00995A8F"/>
    <w:rsid w:val="00995D3E"/>
    <w:rsid w:val="00995F75"/>
    <w:rsid w:val="009965E2"/>
    <w:rsid w:val="00996C72"/>
    <w:rsid w:val="009975D4"/>
    <w:rsid w:val="009976DB"/>
    <w:rsid w:val="00997C3C"/>
    <w:rsid w:val="009A1476"/>
    <w:rsid w:val="009A25DA"/>
    <w:rsid w:val="009A5163"/>
    <w:rsid w:val="009B0D3F"/>
    <w:rsid w:val="009C3AB4"/>
    <w:rsid w:val="009C4805"/>
    <w:rsid w:val="009C6F21"/>
    <w:rsid w:val="009C72DE"/>
    <w:rsid w:val="009C7687"/>
    <w:rsid w:val="009C7AE2"/>
    <w:rsid w:val="009D150C"/>
    <w:rsid w:val="009D2166"/>
    <w:rsid w:val="009D4BD9"/>
    <w:rsid w:val="009D603A"/>
    <w:rsid w:val="009E2EA8"/>
    <w:rsid w:val="009E327D"/>
    <w:rsid w:val="009E3478"/>
    <w:rsid w:val="009E558A"/>
    <w:rsid w:val="009E58AE"/>
    <w:rsid w:val="009E683D"/>
    <w:rsid w:val="009E7697"/>
    <w:rsid w:val="009F0667"/>
    <w:rsid w:val="009F0CE9"/>
    <w:rsid w:val="009F1548"/>
    <w:rsid w:val="009F3392"/>
    <w:rsid w:val="009F3C1C"/>
    <w:rsid w:val="009F5A39"/>
    <w:rsid w:val="009F61D4"/>
    <w:rsid w:val="00A006C3"/>
    <w:rsid w:val="00A012CE"/>
    <w:rsid w:val="00A01806"/>
    <w:rsid w:val="00A0582F"/>
    <w:rsid w:val="00A05C2F"/>
    <w:rsid w:val="00A11C02"/>
    <w:rsid w:val="00A2136F"/>
    <w:rsid w:val="00A2301A"/>
    <w:rsid w:val="00A27737"/>
    <w:rsid w:val="00A307BF"/>
    <w:rsid w:val="00A4124B"/>
    <w:rsid w:val="00A43418"/>
    <w:rsid w:val="00A46A75"/>
    <w:rsid w:val="00A559B8"/>
    <w:rsid w:val="00A55E71"/>
    <w:rsid w:val="00A57048"/>
    <w:rsid w:val="00A61671"/>
    <w:rsid w:val="00A61E95"/>
    <w:rsid w:val="00A64019"/>
    <w:rsid w:val="00A7355D"/>
    <w:rsid w:val="00A7439F"/>
    <w:rsid w:val="00A75F0A"/>
    <w:rsid w:val="00A7647B"/>
    <w:rsid w:val="00A778C9"/>
    <w:rsid w:val="00A828D3"/>
    <w:rsid w:val="00A90BD6"/>
    <w:rsid w:val="00A9233D"/>
    <w:rsid w:val="00A96118"/>
    <w:rsid w:val="00A96F52"/>
    <w:rsid w:val="00AA0690"/>
    <w:rsid w:val="00AA604B"/>
    <w:rsid w:val="00AA612B"/>
    <w:rsid w:val="00AA736F"/>
    <w:rsid w:val="00AB323C"/>
    <w:rsid w:val="00AB7D67"/>
    <w:rsid w:val="00AC6425"/>
    <w:rsid w:val="00AC77AA"/>
    <w:rsid w:val="00AD0C24"/>
    <w:rsid w:val="00AD0CD4"/>
    <w:rsid w:val="00AD7664"/>
    <w:rsid w:val="00AD7D1F"/>
    <w:rsid w:val="00AE1230"/>
    <w:rsid w:val="00AE1D92"/>
    <w:rsid w:val="00AE486C"/>
    <w:rsid w:val="00AF2454"/>
    <w:rsid w:val="00B02829"/>
    <w:rsid w:val="00B02DB9"/>
    <w:rsid w:val="00B16FF2"/>
    <w:rsid w:val="00B20211"/>
    <w:rsid w:val="00B21F20"/>
    <w:rsid w:val="00B224C8"/>
    <w:rsid w:val="00B2311F"/>
    <w:rsid w:val="00B2519E"/>
    <w:rsid w:val="00B30B8A"/>
    <w:rsid w:val="00B433C0"/>
    <w:rsid w:val="00B45854"/>
    <w:rsid w:val="00B51643"/>
    <w:rsid w:val="00B51B39"/>
    <w:rsid w:val="00B530C5"/>
    <w:rsid w:val="00B5341B"/>
    <w:rsid w:val="00B571E6"/>
    <w:rsid w:val="00B619BB"/>
    <w:rsid w:val="00B6488B"/>
    <w:rsid w:val="00B64D9A"/>
    <w:rsid w:val="00B67EAB"/>
    <w:rsid w:val="00B7477F"/>
    <w:rsid w:val="00B757FD"/>
    <w:rsid w:val="00B75E8C"/>
    <w:rsid w:val="00B765F9"/>
    <w:rsid w:val="00B76F57"/>
    <w:rsid w:val="00B77CE9"/>
    <w:rsid w:val="00B80423"/>
    <w:rsid w:val="00B810A2"/>
    <w:rsid w:val="00B85479"/>
    <w:rsid w:val="00B901F6"/>
    <w:rsid w:val="00B91DA4"/>
    <w:rsid w:val="00B93BBF"/>
    <w:rsid w:val="00B96C3C"/>
    <w:rsid w:val="00BA0E9B"/>
    <w:rsid w:val="00BA3425"/>
    <w:rsid w:val="00BA3A88"/>
    <w:rsid w:val="00BA6579"/>
    <w:rsid w:val="00BA7414"/>
    <w:rsid w:val="00BC4E09"/>
    <w:rsid w:val="00BC4F56"/>
    <w:rsid w:val="00BC6AAB"/>
    <w:rsid w:val="00BD1D31"/>
    <w:rsid w:val="00BE0110"/>
    <w:rsid w:val="00BE2C0F"/>
    <w:rsid w:val="00BF19C8"/>
    <w:rsid w:val="00BF2E3A"/>
    <w:rsid w:val="00BF7B08"/>
    <w:rsid w:val="00C01367"/>
    <w:rsid w:val="00C0569E"/>
    <w:rsid w:val="00C108FD"/>
    <w:rsid w:val="00C10E22"/>
    <w:rsid w:val="00C12650"/>
    <w:rsid w:val="00C13828"/>
    <w:rsid w:val="00C14750"/>
    <w:rsid w:val="00C17A28"/>
    <w:rsid w:val="00C23319"/>
    <w:rsid w:val="00C23322"/>
    <w:rsid w:val="00C31483"/>
    <w:rsid w:val="00C32094"/>
    <w:rsid w:val="00C364B2"/>
    <w:rsid w:val="00C41A30"/>
    <w:rsid w:val="00C42088"/>
    <w:rsid w:val="00C428C7"/>
    <w:rsid w:val="00C460EB"/>
    <w:rsid w:val="00C51D56"/>
    <w:rsid w:val="00C51F17"/>
    <w:rsid w:val="00C544C6"/>
    <w:rsid w:val="00C55B21"/>
    <w:rsid w:val="00C560C9"/>
    <w:rsid w:val="00C60B3B"/>
    <w:rsid w:val="00C64F16"/>
    <w:rsid w:val="00C66D91"/>
    <w:rsid w:val="00C7094E"/>
    <w:rsid w:val="00C75558"/>
    <w:rsid w:val="00C80E19"/>
    <w:rsid w:val="00C852FA"/>
    <w:rsid w:val="00C86B03"/>
    <w:rsid w:val="00C87F44"/>
    <w:rsid w:val="00C93746"/>
    <w:rsid w:val="00C963DF"/>
    <w:rsid w:val="00C97839"/>
    <w:rsid w:val="00CA009D"/>
    <w:rsid w:val="00CA1108"/>
    <w:rsid w:val="00CA5B9B"/>
    <w:rsid w:val="00CA6231"/>
    <w:rsid w:val="00CA7F91"/>
    <w:rsid w:val="00CB2161"/>
    <w:rsid w:val="00CB65D9"/>
    <w:rsid w:val="00CB7D2F"/>
    <w:rsid w:val="00CD3849"/>
    <w:rsid w:val="00CD5928"/>
    <w:rsid w:val="00CE067E"/>
    <w:rsid w:val="00CE1F14"/>
    <w:rsid w:val="00CE3B91"/>
    <w:rsid w:val="00CE4E4E"/>
    <w:rsid w:val="00CF0B61"/>
    <w:rsid w:val="00CF265B"/>
    <w:rsid w:val="00CF4059"/>
    <w:rsid w:val="00CF5535"/>
    <w:rsid w:val="00CF5B5F"/>
    <w:rsid w:val="00CF79FE"/>
    <w:rsid w:val="00D02AEC"/>
    <w:rsid w:val="00D045A8"/>
    <w:rsid w:val="00D05F91"/>
    <w:rsid w:val="00D06793"/>
    <w:rsid w:val="00D069A2"/>
    <w:rsid w:val="00D109F7"/>
    <w:rsid w:val="00D1194E"/>
    <w:rsid w:val="00D16B2B"/>
    <w:rsid w:val="00D17019"/>
    <w:rsid w:val="00D17C43"/>
    <w:rsid w:val="00D24BD9"/>
    <w:rsid w:val="00D24E98"/>
    <w:rsid w:val="00D30767"/>
    <w:rsid w:val="00D343A6"/>
    <w:rsid w:val="00D355BD"/>
    <w:rsid w:val="00D36E88"/>
    <w:rsid w:val="00D407E8"/>
    <w:rsid w:val="00D43587"/>
    <w:rsid w:val="00D51863"/>
    <w:rsid w:val="00D54075"/>
    <w:rsid w:val="00D54590"/>
    <w:rsid w:val="00D55851"/>
    <w:rsid w:val="00D60010"/>
    <w:rsid w:val="00D617B0"/>
    <w:rsid w:val="00D6182B"/>
    <w:rsid w:val="00D626DA"/>
    <w:rsid w:val="00D65225"/>
    <w:rsid w:val="00D65537"/>
    <w:rsid w:val="00D76517"/>
    <w:rsid w:val="00D76EE6"/>
    <w:rsid w:val="00D76F6F"/>
    <w:rsid w:val="00D80B1F"/>
    <w:rsid w:val="00D83159"/>
    <w:rsid w:val="00D8651E"/>
    <w:rsid w:val="00D86C36"/>
    <w:rsid w:val="00D90F31"/>
    <w:rsid w:val="00D92822"/>
    <w:rsid w:val="00DA11D8"/>
    <w:rsid w:val="00DA3815"/>
    <w:rsid w:val="00DA6545"/>
    <w:rsid w:val="00DB4507"/>
    <w:rsid w:val="00DB540E"/>
    <w:rsid w:val="00DC0309"/>
    <w:rsid w:val="00DC4B51"/>
    <w:rsid w:val="00DE18A7"/>
    <w:rsid w:val="00DE1D14"/>
    <w:rsid w:val="00DE4604"/>
    <w:rsid w:val="00DE5522"/>
    <w:rsid w:val="00DF1355"/>
    <w:rsid w:val="00DF1540"/>
    <w:rsid w:val="00DF1B22"/>
    <w:rsid w:val="00DF5468"/>
    <w:rsid w:val="00E0078A"/>
    <w:rsid w:val="00E0146D"/>
    <w:rsid w:val="00E02587"/>
    <w:rsid w:val="00E04854"/>
    <w:rsid w:val="00E07C24"/>
    <w:rsid w:val="00E10CC1"/>
    <w:rsid w:val="00E1654E"/>
    <w:rsid w:val="00E17CDE"/>
    <w:rsid w:val="00E17F38"/>
    <w:rsid w:val="00E22516"/>
    <w:rsid w:val="00E229B4"/>
    <w:rsid w:val="00E22D23"/>
    <w:rsid w:val="00E24354"/>
    <w:rsid w:val="00E244AC"/>
    <w:rsid w:val="00E25B44"/>
    <w:rsid w:val="00E26180"/>
    <w:rsid w:val="00E33AA5"/>
    <w:rsid w:val="00E34221"/>
    <w:rsid w:val="00E36A10"/>
    <w:rsid w:val="00E36F0B"/>
    <w:rsid w:val="00E407A8"/>
    <w:rsid w:val="00E4474A"/>
    <w:rsid w:val="00E51037"/>
    <w:rsid w:val="00E54798"/>
    <w:rsid w:val="00E613D4"/>
    <w:rsid w:val="00E63F37"/>
    <w:rsid w:val="00E6685D"/>
    <w:rsid w:val="00E82D93"/>
    <w:rsid w:val="00E84393"/>
    <w:rsid w:val="00E86549"/>
    <w:rsid w:val="00E866D8"/>
    <w:rsid w:val="00E86B7A"/>
    <w:rsid w:val="00E91F32"/>
    <w:rsid w:val="00E96AD6"/>
    <w:rsid w:val="00EA52DC"/>
    <w:rsid w:val="00EB3DFE"/>
    <w:rsid w:val="00EB3EA7"/>
    <w:rsid w:val="00EB6DB7"/>
    <w:rsid w:val="00EC1251"/>
    <w:rsid w:val="00EC4EEC"/>
    <w:rsid w:val="00EC4FDA"/>
    <w:rsid w:val="00EC649A"/>
    <w:rsid w:val="00ED038E"/>
    <w:rsid w:val="00ED07C2"/>
    <w:rsid w:val="00ED1F5D"/>
    <w:rsid w:val="00ED43A1"/>
    <w:rsid w:val="00EE1413"/>
    <w:rsid w:val="00EE1B90"/>
    <w:rsid w:val="00EE1EFF"/>
    <w:rsid w:val="00EE79E0"/>
    <w:rsid w:val="00EF161C"/>
    <w:rsid w:val="00EF412D"/>
    <w:rsid w:val="00EF5479"/>
    <w:rsid w:val="00EF5DE9"/>
    <w:rsid w:val="00EF64D1"/>
    <w:rsid w:val="00EF6737"/>
    <w:rsid w:val="00F04DB9"/>
    <w:rsid w:val="00F10126"/>
    <w:rsid w:val="00F1346E"/>
    <w:rsid w:val="00F158CC"/>
    <w:rsid w:val="00F15BA2"/>
    <w:rsid w:val="00F17765"/>
    <w:rsid w:val="00F17797"/>
    <w:rsid w:val="00F17E86"/>
    <w:rsid w:val="00F2604C"/>
    <w:rsid w:val="00F26486"/>
    <w:rsid w:val="00F31EBF"/>
    <w:rsid w:val="00F33273"/>
    <w:rsid w:val="00F3487A"/>
    <w:rsid w:val="00F53D4C"/>
    <w:rsid w:val="00F544E3"/>
    <w:rsid w:val="00F553F8"/>
    <w:rsid w:val="00F65684"/>
    <w:rsid w:val="00F65D26"/>
    <w:rsid w:val="00F665C7"/>
    <w:rsid w:val="00F66B65"/>
    <w:rsid w:val="00F74A95"/>
    <w:rsid w:val="00F821BE"/>
    <w:rsid w:val="00F849B0"/>
    <w:rsid w:val="00F91A45"/>
    <w:rsid w:val="00F963CF"/>
    <w:rsid w:val="00F97F17"/>
    <w:rsid w:val="00FA1206"/>
    <w:rsid w:val="00FA486B"/>
    <w:rsid w:val="00FA58C5"/>
    <w:rsid w:val="00FB1392"/>
    <w:rsid w:val="00FB1F55"/>
    <w:rsid w:val="00FB3D74"/>
    <w:rsid w:val="00FC02BE"/>
    <w:rsid w:val="00FC07CA"/>
    <w:rsid w:val="00FC2BCC"/>
    <w:rsid w:val="00FC6287"/>
    <w:rsid w:val="00FD206F"/>
    <w:rsid w:val="00FD644E"/>
    <w:rsid w:val="00FE54D8"/>
    <w:rsid w:val="00FF0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6251051F-2CA2-4370-9B78-364B88AD7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Nadja Felker</cp:lastModifiedBy>
  <cp:revision>12</cp:revision>
  <cp:lastPrinted>2015-07-27T15:01:00Z</cp:lastPrinted>
  <dcterms:created xsi:type="dcterms:W3CDTF">2015-08-27T18:24:00Z</dcterms:created>
  <dcterms:modified xsi:type="dcterms:W3CDTF">2015-08-28T08:17:00Z</dcterms:modified>
</cp:coreProperties>
</file>