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9" w:rsidRPr="00984EF9" w:rsidRDefault="00AA46AD" w:rsidP="002724A2">
      <w:pPr>
        <w:pStyle w:val="berschrift1"/>
        <w:numPr>
          <w:ilvl w:val="0"/>
          <w:numId w:val="0"/>
        </w:numPr>
        <w:spacing w:before="0"/>
        <w:ind w:left="432" w:hanging="432"/>
      </w:pPr>
      <w:bookmarkStart w:id="0" w:name="_Toc425843929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.05pt;margin-top:40.85pt;width:451.2pt;height:199.6pt;z-index:251731968;mso-width-relative:margin;mso-height-relative:margin" fillcolor="white [3201]" strokecolor="#4bacc6 [3208]" strokeweight="1pt">
            <v:stroke dashstyle="dash"/>
            <v:shadow color="#868686"/>
            <v:textbox style="mso-next-textbox:#_x0000_s1084">
              <w:txbxContent>
                <w:p w:rsidR="00292325" w:rsidRDefault="0045667F" w:rsidP="00E50DD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</w:t>
                  </w:r>
                  <w:r w:rsidR="00E50DD3">
                    <w:rPr>
                      <w:color w:val="auto"/>
                    </w:rPr>
                    <w:t>rsuch zeigt</w:t>
                  </w:r>
                  <w:r>
                    <w:rPr>
                      <w:color w:val="auto"/>
                    </w:rPr>
                    <w:t>, dass Säuren eine zersetzende Wirkung auf unedle Metalle h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 xml:space="preserve">ben. </w:t>
                  </w:r>
                  <w:r w:rsidR="00D65537">
                    <w:rPr>
                      <w:color w:val="auto"/>
                    </w:rPr>
                    <w:t xml:space="preserve">Er ist ein Lehrerversuch, da mit </w:t>
                  </w:r>
                  <w:r w:rsidR="00377662">
                    <w:rPr>
                      <w:color w:val="auto"/>
                    </w:rPr>
                    <w:t>konzentrierter Salzsäure gearbeitet wird, die Verätzungen veru</w:t>
                  </w:r>
                  <w:r w:rsidR="00F66B65">
                    <w:rPr>
                      <w:color w:val="auto"/>
                    </w:rPr>
                    <w:t>rs</w:t>
                  </w:r>
                  <w:r w:rsidR="00F66B65">
                    <w:rPr>
                      <w:color w:val="auto"/>
                    </w:rPr>
                    <w:t>a</w:t>
                  </w:r>
                  <w:r w:rsidR="00377662">
                    <w:rPr>
                      <w:color w:val="auto"/>
                    </w:rPr>
                    <w:t>chen und Atmungsorgane reizen kann.</w:t>
                  </w:r>
                  <w:r w:rsidR="00336F49">
                    <w:rPr>
                      <w:color w:val="auto"/>
                    </w:rPr>
                    <w:t xml:space="preserve"> Da bei dem Versuch brennbarer Wasse</w:t>
                  </w:r>
                  <w:r w:rsidR="00336F49">
                    <w:rPr>
                      <w:color w:val="auto"/>
                    </w:rPr>
                    <w:t>r</w:t>
                  </w:r>
                  <w:r w:rsidR="00336F49">
                    <w:rPr>
                      <w:color w:val="auto"/>
                    </w:rPr>
                    <w:t>stoff entsteht, darf in der Nähe der Versuchsapparatur kein Gasbrenner an sein</w:t>
                  </w:r>
                  <w:r w:rsidR="00E50DD3">
                    <w:rPr>
                      <w:color w:val="auto"/>
                    </w:rPr>
                    <w:t>. Der</w:t>
                  </w:r>
                  <w:r w:rsidR="00336F49">
                    <w:rPr>
                      <w:color w:val="auto"/>
                    </w:rPr>
                    <w:t xml:space="preserve"> Versuch </w:t>
                  </w:r>
                  <w:r w:rsidR="00E50DD3">
                    <w:rPr>
                      <w:color w:val="auto"/>
                    </w:rPr>
                    <w:t xml:space="preserve">sollte </w:t>
                  </w:r>
                  <w:r w:rsidR="00336F49">
                    <w:rPr>
                      <w:color w:val="auto"/>
                    </w:rPr>
                    <w:t>im A</w:t>
                  </w:r>
                  <w:r w:rsidR="00336F49">
                    <w:rPr>
                      <w:color w:val="auto"/>
                    </w:rPr>
                    <w:t>b</w:t>
                  </w:r>
                  <w:r w:rsidR="00336F49">
                    <w:rPr>
                      <w:color w:val="auto"/>
                    </w:rPr>
                    <w:t>zug durchgeführt werden.</w:t>
                  </w:r>
                  <w:r w:rsidR="003B45A9">
                    <w:rPr>
                      <w:color w:val="auto"/>
                    </w:rPr>
                    <w:t xml:space="preserve"> </w:t>
                  </w:r>
                </w:p>
                <w:p w:rsidR="00690D42" w:rsidRDefault="00292325" w:rsidP="003A5F2C">
                  <w:pPr>
                    <w:rPr>
                      <w:color w:val="auto"/>
                    </w:rPr>
                  </w:pPr>
                  <w:r w:rsidRPr="00541890">
                    <w:rPr>
                      <w:b/>
                      <w:bCs/>
                      <w:color w:val="auto"/>
                    </w:rPr>
                    <w:t>Achtung:</w:t>
                  </w:r>
                  <w:r>
                    <w:rPr>
                      <w:color w:val="auto"/>
                    </w:rPr>
                    <w:t xml:space="preserve"> </w:t>
                  </w:r>
                  <w:r w:rsidR="003B45A9">
                    <w:rPr>
                      <w:color w:val="auto"/>
                    </w:rPr>
                    <w:t xml:space="preserve">Das Reagenzglas sollte nicht mehr als zu einem Viertel mit der Salzsäure befüllt werden, da die Säure </w:t>
                  </w:r>
                  <w:r w:rsidR="00D355BD">
                    <w:rPr>
                      <w:color w:val="auto"/>
                    </w:rPr>
                    <w:t>infolge der starken Reaktion</w:t>
                  </w:r>
                  <w:r w:rsidR="003B45A9">
                    <w:rPr>
                      <w:color w:val="auto"/>
                    </w:rPr>
                    <w:t xml:space="preserve"> aus dem Reagenzglas l</w:t>
                  </w:r>
                  <w:r>
                    <w:rPr>
                      <w:color w:val="auto"/>
                    </w:rPr>
                    <w:t>äuft</w:t>
                  </w:r>
                  <w:r w:rsidR="003B45A9">
                    <w:rPr>
                      <w:color w:val="auto"/>
                    </w:rPr>
                    <w:t>.</w:t>
                  </w:r>
                  <w:r w:rsidR="00585DB4">
                    <w:rPr>
                      <w:color w:val="auto"/>
                    </w:rPr>
                    <w:t xml:space="preserve"> Auch sollte das Reagenzglas </w:t>
                  </w:r>
                  <w:r w:rsidR="003A5F2C">
                    <w:rPr>
                      <w:color w:val="auto"/>
                    </w:rPr>
                    <w:t xml:space="preserve">unmittelbar nach der Reaktion </w:t>
                  </w:r>
                  <w:r w:rsidR="00585DB4">
                    <w:rPr>
                      <w:color w:val="auto"/>
                    </w:rPr>
                    <w:t>nicht angefasst werden, da es warm wird.</w:t>
                  </w:r>
                </w:p>
                <w:p w:rsidR="00224766" w:rsidRPr="00F31EBF" w:rsidRDefault="00F65684" w:rsidP="00336F4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wird kein spezielles Vorwissen benötigt.</w:t>
                  </w:r>
                </w:p>
              </w:txbxContent>
            </v:textbox>
            <w10:wrap type="square"/>
          </v:shape>
        </w:pict>
      </w:r>
      <w:r w:rsidR="002724A2">
        <w:t>LV</w:t>
      </w:r>
      <w:r w:rsidR="00984EF9">
        <w:t xml:space="preserve"> – </w:t>
      </w:r>
      <w:bookmarkEnd w:id="0"/>
      <w:r w:rsidR="00636C4B">
        <w:t>Einwirkung einer starken Säure auf Metallanspitzer</w:t>
      </w:r>
    </w:p>
    <w:p w:rsidR="00D76F6F" w:rsidRDefault="00D76F6F" w:rsidP="00F31EBF">
      <w:pPr>
        <w:pStyle w:val="berschrift2"/>
        <w:numPr>
          <w:ilvl w:val="0"/>
          <w:numId w:val="0"/>
        </w:numPr>
      </w:pPr>
      <w:bookmarkStart w:id="1" w:name="_Toc425776595"/>
      <w:bookmarkEnd w:id="1"/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D76F6F" w:rsidRPr="009C5E28" w:rsidTr="00C51F17">
        <w:tc>
          <w:tcPr>
            <w:tcW w:w="9072" w:type="dxa"/>
            <w:gridSpan w:val="9"/>
            <w:shd w:val="clear" w:color="auto" w:fill="4F81BD"/>
            <w:vAlign w:val="center"/>
          </w:tcPr>
          <w:p w:rsidR="000835D3" w:rsidRPr="000835D3" w:rsidRDefault="000835D3" w:rsidP="00690D42">
            <w:pPr>
              <w:spacing w:after="0"/>
              <w:jc w:val="center"/>
              <w:rPr>
                <w:b/>
                <w:bCs/>
                <w:color w:val="FFFFFF" w:themeColor="background1"/>
                <w:sz w:val="6"/>
                <w:szCs w:val="6"/>
              </w:rPr>
            </w:pPr>
          </w:p>
          <w:p w:rsidR="00D76F6F" w:rsidRPr="00F31EBF" w:rsidRDefault="00D76F6F" w:rsidP="00690D4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C51F1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D51863" w:rsidRDefault="00B2311F" w:rsidP="00D51863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t>K</w:t>
            </w:r>
            <w:r w:rsidR="006A7EEF" w:rsidRPr="00D51863">
              <w:t>onz</w:t>
            </w:r>
            <w:proofErr w:type="spellEnd"/>
            <w:r w:rsidR="006A7EEF" w:rsidRPr="00D51863">
              <w:t xml:space="preserve">. </w:t>
            </w:r>
            <w:r w:rsidR="00E613D4" w:rsidRPr="00D51863"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D51863" w:rsidRDefault="00D76F6F" w:rsidP="00D51863">
            <w:pPr>
              <w:spacing w:after="0" w:line="276" w:lineRule="auto"/>
              <w:jc w:val="center"/>
            </w:pPr>
            <w:r w:rsidRPr="00D51863">
              <w:t xml:space="preserve">H: </w:t>
            </w:r>
            <w:hyperlink r:id="rId8" w:anchor="H-S.C3.A4tze" w:tooltip="H- und P-Sätze" w:history="1">
              <w:r w:rsidR="000A7709" w:rsidRPr="00D51863">
                <w:rPr>
                  <w:rStyle w:val="Hyperlink"/>
                  <w:color w:val="auto"/>
                  <w:u w:val="none"/>
                </w:rPr>
                <w:t>290</w:t>
              </w:r>
            </w:hyperlink>
            <w:r w:rsidRPr="00D51863">
              <w:t>-</w:t>
            </w:r>
            <w:hyperlink r:id="rId9" w:anchor="H-S.C3.A4tze" w:tooltip="H- und P-Sätze" w:history="1">
              <w:r w:rsidR="000A7709" w:rsidRPr="00D51863">
                <w:rPr>
                  <w:rStyle w:val="Hyperlink"/>
                  <w:color w:val="auto"/>
                  <w:u w:val="none"/>
                </w:rPr>
                <w:t>314</w:t>
              </w:r>
            </w:hyperlink>
            <w:r w:rsidRPr="00D51863">
              <w:t>-</w:t>
            </w:r>
            <w:r w:rsidR="000A7709" w:rsidRPr="00D51863">
              <w:t>335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51F17" w:rsidRPr="00D51863" w:rsidRDefault="00D76F6F" w:rsidP="00D51863">
            <w:pPr>
              <w:spacing w:after="0" w:line="276" w:lineRule="auto"/>
              <w:jc w:val="center"/>
            </w:pPr>
            <w:r w:rsidRPr="00D51863">
              <w:t xml:space="preserve">P: </w:t>
            </w:r>
            <w:r w:rsidR="000A7709" w:rsidRPr="00D51863">
              <w:t>234-260-304+340-303+</w:t>
            </w:r>
          </w:p>
          <w:p w:rsidR="00D76F6F" w:rsidRPr="00D51863" w:rsidRDefault="000A7709" w:rsidP="00D51863">
            <w:pPr>
              <w:spacing w:after="0" w:line="276" w:lineRule="auto"/>
              <w:jc w:val="center"/>
            </w:pPr>
            <w:r w:rsidRPr="00D51863">
              <w:t>361+353-305+351+338-309+311-501</w:t>
            </w:r>
            <w:r w:rsidR="00D76F6F" w:rsidRPr="00D51863">
              <w:rPr>
                <w:rFonts w:hAnsi="Times New Roman" w:cs="Times New Roman"/>
              </w:rPr>
              <w:t>​</w:t>
            </w:r>
          </w:p>
        </w:tc>
      </w:tr>
      <w:tr w:rsidR="00D76F6F" w:rsidRPr="009C5E28" w:rsidTr="00C51F1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12753E">
            <w:pPr>
              <w:spacing w:after="0"/>
              <w:ind w:left="-74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A9233D" w:rsidRDefault="008E1A25" w:rsidP="007008C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6E4DDC">
        <w:t>Reagenzglas, Stativ, Klemme, Muffe</w:t>
      </w:r>
      <w:r w:rsidR="003F48E2">
        <w:t>.</w:t>
      </w:r>
    </w:p>
    <w:p w:rsidR="008E1A25" w:rsidRPr="00ED07C2" w:rsidRDefault="00A9233D" w:rsidP="0092328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B7477F">
        <w:t>konz</w:t>
      </w:r>
      <w:proofErr w:type="spellEnd"/>
      <w:r w:rsidR="00B7477F">
        <w:t xml:space="preserve">. Salzsäure, </w:t>
      </w:r>
      <w:r w:rsidR="00C32094">
        <w:t>Anspitzer</w:t>
      </w:r>
      <w:r w:rsidR="00923281">
        <w:t xml:space="preserve"> aus Aluminium</w:t>
      </w:r>
      <w:r w:rsidR="003F48E2">
        <w:t>.</w:t>
      </w:r>
    </w:p>
    <w:p w:rsidR="001F0876" w:rsidRDefault="00301101" w:rsidP="002C014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Reagenzglas wird mithilfe einer Klemme und Muffe am Stativ befestigt und ein </w:t>
      </w:r>
      <w:r w:rsidR="002C014B">
        <w:t>Viertel</w:t>
      </w:r>
      <w:r>
        <w:t xml:space="preserve"> des Reagenzglases mit konzentrierter Salzsäure befüllt. </w:t>
      </w:r>
      <w:r w:rsidR="00F10126">
        <w:t>A</w:t>
      </w:r>
      <w:r w:rsidR="00F10126">
        <w:t>n</w:t>
      </w:r>
      <w:r w:rsidR="00F10126">
        <w:t xml:space="preserve">schließend wird der Anspitzer </w:t>
      </w:r>
      <w:r w:rsidR="009F1548">
        <w:t>(</w:t>
      </w:r>
      <w:r w:rsidR="006D2E57">
        <w:t>ohne Klinge</w:t>
      </w:r>
      <w:r w:rsidR="009F1548">
        <w:t>!)</w:t>
      </w:r>
      <w:r w:rsidR="006D2E57">
        <w:t xml:space="preserve"> </w:t>
      </w:r>
      <w:r w:rsidR="00F10126">
        <w:t>in das Reagenzglas gegeben</w:t>
      </w:r>
      <w:r w:rsidR="004B03E9">
        <w:t>.</w:t>
      </w:r>
      <w:r w:rsidR="00424710">
        <w:t xml:space="preserve"> </w:t>
      </w:r>
    </w:p>
    <w:p w:rsidR="00424710" w:rsidRDefault="008E1A25" w:rsidP="00931AE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860696">
        <w:t xml:space="preserve">Es findet eine starke </w:t>
      </w:r>
      <w:r w:rsidR="00080AEF">
        <w:t>Bläschenbildung</w:t>
      </w:r>
      <w:r w:rsidR="00860696">
        <w:t xml:space="preserve"> statt</w:t>
      </w:r>
      <w:r w:rsidR="00E6685D">
        <w:t>,</w:t>
      </w:r>
      <w:r w:rsidR="00080AEF">
        <w:t xml:space="preserve"> </w:t>
      </w:r>
      <w:r w:rsidR="00860696">
        <w:t>weshalb die Lösung stark spr</w:t>
      </w:r>
      <w:r w:rsidR="00860696">
        <w:t>u</w:t>
      </w:r>
      <w:r w:rsidR="00860696">
        <w:t xml:space="preserve">delt. Nach einiger Zeit </w:t>
      </w:r>
      <w:r w:rsidR="00E6685D">
        <w:t>ist der Anspitzer im Re</w:t>
      </w:r>
      <w:r w:rsidR="00867697">
        <w:t>agenzglas mit dem bloße</w:t>
      </w:r>
      <w:r w:rsidR="00E6685D">
        <w:t xml:space="preserve"> A</w:t>
      </w:r>
      <w:r w:rsidR="00E6685D">
        <w:t>u</w:t>
      </w:r>
      <w:r w:rsidR="00E6685D">
        <w:t>ge nicht mehr zu beobachten</w:t>
      </w:r>
      <w:r w:rsidR="00080AEF">
        <w:t>.</w:t>
      </w:r>
      <w:r w:rsidR="00690B64">
        <w:t xml:space="preserve"> Die Flüssigkeit wird </w:t>
      </w:r>
      <w:r w:rsidR="00217853">
        <w:t>leicht trüb</w:t>
      </w:r>
      <w:r w:rsidR="00D6182B">
        <w:t xml:space="preserve"> und </w:t>
      </w:r>
      <w:r w:rsidR="00F97F17">
        <w:t>hellgrau</w:t>
      </w:r>
      <w:r w:rsidR="005B52EE">
        <w:t xml:space="preserve"> (siehe Abb. 2)</w:t>
      </w:r>
      <w:r w:rsidR="00690B64">
        <w:t>.</w:t>
      </w:r>
    </w:p>
    <w:p w:rsidR="00813E4E" w:rsidRDefault="00813E4E" w:rsidP="00931AE7">
      <w:pPr>
        <w:tabs>
          <w:tab w:val="left" w:pos="1701"/>
          <w:tab w:val="left" w:pos="1985"/>
        </w:tabs>
        <w:ind w:left="1980" w:hanging="1980"/>
      </w:pPr>
    </w:p>
    <w:p w:rsidR="00450BE5" w:rsidRDefault="00450BE5" w:rsidP="00F97F17">
      <w:pPr>
        <w:tabs>
          <w:tab w:val="left" w:pos="1701"/>
          <w:tab w:val="left" w:pos="1985"/>
        </w:tabs>
        <w:ind w:left="1980" w:hanging="1980"/>
      </w:pPr>
    </w:p>
    <w:p w:rsidR="00450BE5" w:rsidRDefault="00450BE5" w:rsidP="00F97F17">
      <w:pPr>
        <w:tabs>
          <w:tab w:val="left" w:pos="1701"/>
          <w:tab w:val="left" w:pos="1985"/>
        </w:tabs>
        <w:ind w:left="1980" w:hanging="1980"/>
      </w:pPr>
    </w:p>
    <w:p w:rsidR="00424710" w:rsidRDefault="00CF5535" w:rsidP="00D6182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60960</wp:posOffset>
            </wp:positionV>
            <wp:extent cx="1181100" cy="1876425"/>
            <wp:effectExtent l="19050" t="0" r="0" b="0"/>
            <wp:wrapTight wrapText="bothSides">
              <wp:wrapPolygon edited="0">
                <wp:start x="-348" y="0"/>
                <wp:lineTo x="-348" y="21490"/>
                <wp:lineTo x="21600" y="21490"/>
                <wp:lineTo x="21600" y="0"/>
                <wp:lineTo x="-348" y="0"/>
              </wp:wrapPolygon>
            </wp:wrapTight>
            <wp:docPr id="6" name="Bild 4" descr="F:\DCIM\100SSCAM\S630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SSCAM\S630149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710"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62865</wp:posOffset>
            </wp:positionV>
            <wp:extent cx="1200150" cy="1876425"/>
            <wp:effectExtent l="19050" t="0" r="0" b="0"/>
            <wp:wrapTight wrapText="bothSides">
              <wp:wrapPolygon edited="0">
                <wp:start x="-343" y="0"/>
                <wp:lineTo x="-343" y="21490"/>
                <wp:lineTo x="21600" y="21490"/>
                <wp:lineTo x="21600" y="0"/>
                <wp:lineTo x="-343" y="0"/>
              </wp:wrapPolygon>
            </wp:wrapTight>
            <wp:docPr id="5" name="Bild 12" descr="F:\DCIM\100SSCAM\S63015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Grafik 4" descr="F:\DCIM\100SSCAM\S63015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710" w:rsidRDefault="00424710" w:rsidP="00424710">
      <w:pPr>
        <w:tabs>
          <w:tab w:val="left" w:pos="1701"/>
          <w:tab w:val="left" w:pos="1985"/>
        </w:tabs>
        <w:ind w:left="1980" w:hanging="1980"/>
      </w:pPr>
    </w:p>
    <w:p w:rsidR="00424710" w:rsidRDefault="00424710" w:rsidP="00424710">
      <w:pPr>
        <w:tabs>
          <w:tab w:val="left" w:pos="1701"/>
          <w:tab w:val="left" w:pos="1985"/>
        </w:tabs>
        <w:ind w:left="1980" w:hanging="1980"/>
      </w:pPr>
    </w:p>
    <w:p w:rsidR="00424710" w:rsidRDefault="00424710" w:rsidP="00424710">
      <w:pPr>
        <w:tabs>
          <w:tab w:val="left" w:pos="1701"/>
          <w:tab w:val="left" w:pos="1985"/>
        </w:tabs>
        <w:ind w:left="1980" w:hanging="1980"/>
      </w:pPr>
    </w:p>
    <w:p w:rsidR="00424710" w:rsidRPr="001F0876" w:rsidRDefault="00424710" w:rsidP="00424710">
      <w:pPr>
        <w:tabs>
          <w:tab w:val="left" w:pos="1701"/>
          <w:tab w:val="left" w:pos="1985"/>
        </w:tabs>
        <w:ind w:left="1980" w:hanging="1980"/>
        <w:rPr>
          <w:sz w:val="8"/>
          <w:szCs w:val="8"/>
        </w:rPr>
      </w:pPr>
    </w:p>
    <w:p w:rsidR="00424710" w:rsidRDefault="00424710" w:rsidP="00424710">
      <w:pPr>
        <w:tabs>
          <w:tab w:val="left" w:pos="1701"/>
          <w:tab w:val="left" w:pos="1985"/>
        </w:tabs>
        <w:ind w:left="1980" w:hanging="1980"/>
      </w:pPr>
    </w:p>
    <w:p w:rsidR="002E19E0" w:rsidRDefault="00424710" w:rsidP="008E6F26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ab/>
      </w:r>
      <w:r w:rsidRPr="002B041D">
        <w:t xml:space="preserve">Abb. 1 - </w:t>
      </w:r>
      <w:r w:rsidR="00061979">
        <w:rPr>
          <w:noProof/>
        </w:rPr>
        <w:t>Salzsäure</w:t>
      </w:r>
      <w:r w:rsidRPr="002B041D">
        <w:rPr>
          <w:noProof/>
        </w:rPr>
        <w:t xml:space="preserve"> vor der Zugabe</w:t>
      </w:r>
      <w:r w:rsidRPr="002B041D">
        <w:rPr>
          <w:noProof/>
        </w:rPr>
        <w:tab/>
      </w:r>
      <w:r w:rsidR="0052649F">
        <w:rPr>
          <w:noProof/>
        </w:rPr>
        <w:t xml:space="preserve">       </w:t>
      </w:r>
      <w:r w:rsidRPr="002B041D">
        <w:t xml:space="preserve">Abb. 2 - </w:t>
      </w:r>
      <w:r w:rsidRPr="002B041D">
        <w:rPr>
          <w:noProof/>
        </w:rPr>
        <w:t>S</w:t>
      </w:r>
      <w:r w:rsidR="00061979">
        <w:rPr>
          <w:noProof/>
        </w:rPr>
        <w:t>alzs</w:t>
      </w:r>
      <w:r w:rsidRPr="002B041D">
        <w:rPr>
          <w:noProof/>
        </w:rPr>
        <w:t xml:space="preserve">äure nach der Zugabe des </w:t>
      </w:r>
    </w:p>
    <w:p w:rsidR="00424710" w:rsidRDefault="002E19E0" w:rsidP="004950AC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rPr>
          <w:noProof/>
        </w:rPr>
        <w:t xml:space="preserve">des </w:t>
      </w:r>
      <w:r w:rsidR="00424710" w:rsidRPr="002B041D">
        <w:rPr>
          <w:noProof/>
        </w:rPr>
        <w:t xml:space="preserve">Anspitzers.          </w:t>
      </w:r>
      <w:r w:rsidR="00061979">
        <w:rPr>
          <w:noProof/>
        </w:rPr>
        <w:tab/>
      </w:r>
      <w:r w:rsidR="00061979">
        <w:rPr>
          <w:noProof/>
        </w:rPr>
        <w:tab/>
        <w:t xml:space="preserve">       </w:t>
      </w:r>
      <w:r w:rsidR="00424710" w:rsidRPr="002B041D">
        <w:rPr>
          <w:noProof/>
        </w:rPr>
        <w:t>Anspitzers.</w:t>
      </w:r>
    </w:p>
    <w:p w:rsidR="004950AC" w:rsidRPr="00254369" w:rsidRDefault="004950AC" w:rsidP="004950AC">
      <w:pPr>
        <w:rPr>
          <w:sz w:val="12"/>
          <w:szCs w:val="12"/>
        </w:rPr>
      </w:pPr>
    </w:p>
    <w:p w:rsidR="00833A90" w:rsidRPr="00833A90" w:rsidRDefault="00CF5535" w:rsidP="007D0888">
      <w:pPr>
        <w:tabs>
          <w:tab w:val="left" w:pos="1701"/>
          <w:tab w:val="left" w:pos="1985"/>
        </w:tabs>
        <w:ind w:left="1985" w:hanging="1985"/>
      </w:pPr>
      <w:r w:rsidRPr="003C7DC3">
        <w:t>Deutung:</w:t>
      </w:r>
      <w:r w:rsidRPr="003C7DC3">
        <w:tab/>
      </w:r>
      <w:r w:rsidRPr="003C7DC3">
        <w:tab/>
      </w:r>
      <w:r w:rsidR="00B16FF2" w:rsidRPr="003C7DC3">
        <w:t xml:space="preserve">Es bildet sich ein Gas. </w:t>
      </w:r>
      <w:r w:rsidR="00337F0A" w:rsidRPr="003C7DC3">
        <w:t>Der Aluminium-Anspitzer w</w:t>
      </w:r>
      <w:r w:rsidR="00B16FF2" w:rsidRPr="003C7DC3">
        <w:t>ird</w:t>
      </w:r>
      <w:r w:rsidR="00337F0A" w:rsidRPr="003C7DC3">
        <w:t xml:space="preserve"> von der starken Sal</w:t>
      </w:r>
      <w:r w:rsidR="00337F0A" w:rsidRPr="003C7DC3">
        <w:t>z</w:t>
      </w:r>
      <w:r w:rsidR="00337F0A" w:rsidRPr="003C7DC3">
        <w:t>säure</w:t>
      </w:r>
      <w:r w:rsidR="00415B54" w:rsidRPr="003C7DC3">
        <w:t xml:space="preserve"> </w:t>
      </w:r>
      <w:r w:rsidR="00337F0A" w:rsidRPr="003C7DC3">
        <w:t>zersetzt.</w:t>
      </w:r>
      <w:r w:rsidR="00F963CF">
        <w:t xml:space="preserve"> Es kann also verallgemeinert werden, dass </w:t>
      </w:r>
      <w:r w:rsidR="00CF4059">
        <w:t xml:space="preserve">starke </w:t>
      </w:r>
      <w:r w:rsidR="00F963CF">
        <w:t>Säuren Metalle angreifen und zersetzen können.</w:t>
      </w:r>
      <w:r w:rsidR="00833A90">
        <w:t xml:space="preserve"> </w:t>
      </w:r>
    </w:p>
    <w:p w:rsidR="00216E3C" w:rsidRDefault="007008C7" w:rsidP="007008C7">
      <w:pPr>
        <w:tabs>
          <w:tab w:val="left" w:pos="1985"/>
        </w:tabs>
        <w:spacing w:line="276" w:lineRule="auto"/>
        <w:jc w:val="left"/>
      </w:pPr>
      <w:r>
        <w:t>Entsorgung:</w:t>
      </w:r>
      <w:r>
        <w:tab/>
      </w:r>
      <w:r w:rsidR="001C0C2D">
        <w:t>Anorganischer</w:t>
      </w:r>
      <w:r w:rsidR="00982C9B">
        <w:t xml:space="preserve"> Abfall</w:t>
      </w:r>
      <w:r w:rsidR="00662449">
        <w:t xml:space="preserve"> mit Schwermetallen</w:t>
      </w:r>
      <w:r w:rsidR="00982C9B">
        <w:t>.</w:t>
      </w:r>
    </w:p>
    <w:p w:rsidR="00B530C5" w:rsidRPr="00466A85" w:rsidRDefault="007008C7" w:rsidP="009C4805">
      <w:pPr>
        <w:tabs>
          <w:tab w:val="left" w:pos="1985"/>
        </w:tabs>
        <w:ind w:left="1985" w:hanging="1985"/>
      </w:pPr>
      <w:r>
        <w:t>Literatur:</w:t>
      </w:r>
      <w:r>
        <w:tab/>
      </w:r>
      <w:r w:rsidR="002C502E">
        <w:t>D.</w:t>
      </w:r>
      <w:r w:rsidR="009C4805">
        <w:t> </w:t>
      </w:r>
      <w:proofErr w:type="spellStart"/>
      <w:r w:rsidR="002C502E">
        <w:t>Wiechoczek</w:t>
      </w:r>
      <w:proofErr w:type="spellEnd"/>
      <w:r w:rsidR="002C502E">
        <w:t xml:space="preserve">, </w:t>
      </w:r>
      <w:r w:rsidR="00381C71">
        <w:t xml:space="preserve">Professor </w:t>
      </w:r>
      <w:proofErr w:type="spellStart"/>
      <w:r w:rsidR="00381C71">
        <w:t>Blume</w:t>
      </w:r>
      <w:r w:rsidR="006C188A">
        <w:t>s</w:t>
      </w:r>
      <w:proofErr w:type="spellEnd"/>
      <w:r w:rsidR="006C188A">
        <w:t xml:space="preserve"> </w:t>
      </w:r>
      <w:r w:rsidR="00381C71">
        <w:t xml:space="preserve">Bildungsserver für Chemie, </w:t>
      </w:r>
      <w:hyperlink r:id="rId21" w:history="1">
        <w:r w:rsidR="00381C71" w:rsidRPr="00381C71">
          <w:rPr>
            <w:rStyle w:val="Hyperlink"/>
            <w:color w:val="auto"/>
            <w:u w:val="none"/>
          </w:rPr>
          <w:t>http://www.chemieunter</w:t>
        </w:r>
      </w:hyperlink>
      <w:r w:rsidR="00381C71" w:rsidRPr="00381C71">
        <w:t>richt.de/dc2/grundsch/versuche/gs-v-018.htm</w:t>
      </w:r>
      <w:r w:rsidR="00381C71">
        <w:t xml:space="preserve">, </w:t>
      </w:r>
      <w:r w:rsidR="00381C71">
        <w:rPr>
          <w:rFonts w:asciiTheme="majorHAnsi" w:hAnsiTheme="majorHAnsi"/>
        </w:rPr>
        <w:t>29.07.2010</w:t>
      </w:r>
      <w:r w:rsidR="00381C71" w:rsidRPr="00B937A2">
        <w:rPr>
          <w:rFonts w:asciiTheme="majorHAnsi" w:hAnsiTheme="majorHAnsi"/>
        </w:rPr>
        <w:t xml:space="preserve"> (</w:t>
      </w:r>
      <w:r w:rsidR="00381C71">
        <w:rPr>
          <w:rFonts w:asciiTheme="majorHAnsi" w:hAnsiTheme="majorHAnsi"/>
        </w:rPr>
        <w:t>Zuletzt abgerufen am 01</w:t>
      </w:r>
      <w:r w:rsidR="00381C71" w:rsidRPr="00B937A2">
        <w:rPr>
          <w:rFonts w:asciiTheme="majorHAnsi" w:hAnsiTheme="majorHAnsi"/>
        </w:rPr>
        <w:t>.</w:t>
      </w:r>
      <w:r w:rsidR="00381C71">
        <w:rPr>
          <w:rFonts w:asciiTheme="majorHAnsi" w:hAnsiTheme="majorHAnsi"/>
        </w:rPr>
        <w:t>08</w:t>
      </w:r>
      <w:r w:rsidR="00381C71" w:rsidRPr="00B937A2">
        <w:rPr>
          <w:rFonts w:asciiTheme="majorHAnsi" w:hAnsiTheme="majorHAnsi"/>
        </w:rPr>
        <w:t>.201</w:t>
      </w:r>
      <w:r w:rsidR="00381C71">
        <w:rPr>
          <w:rFonts w:asciiTheme="majorHAnsi" w:hAnsiTheme="majorHAnsi"/>
        </w:rPr>
        <w:t>5</w:t>
      </w:r>
      <w:r w:rsidR="00381C71" w:rsidRPr="00B937A2">
        <w:rPr>
          <w:rFonts w:asciiTheme="majorHAnsi" w:hAnsiTheme="majorHAnsi"/>
        </w:rPr>
        <w:t xml:space="preserve"> </w:t>
      </w:r>
      <w:r w:rsidR="00381C71">
        <w:rPr>
          <w:rFonts w:asciiTheme="majorHAnsi" w:hAnsiTheme="majorHAnsi"/>
        </w:rPr>
        <w:t>um 17:00 Uhr)</w:t>
      </w:r>
      <w:r w:rsidR="00960DE9">
        <w:rPr>
          <w:rFonts w:asciiTheme="majorHAnsi" w:hAnsiTheme="majorHAnsi"/>
        </w:rPr>
        <w:t>.</w:t>
      </w:r>
    </w:p>
    <w:p w:rsidR="004C690C" w:rsidRDefault="00AA46AD" w:rsidP="009A5163">
      <w:pPr>
        <w:tabs>
          <w:tab w:val="left" w:pos="1701"/>
          <w:tab w:val="left" w:pos="1985"/>
        </w:tabs>
      </w:pPr>
      <w:r>
        <w:pict>
          <v:shape id="_x0000_s1085" type="#_x0000_t202" style="width:462.45pt;height:325.0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85">
              <w:txbxContent>
                <w:p w:rsidR="0026410F" w:rsidRDefault="000073F3" w:rsidP="00E229B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Um an die Lebenswelt der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anzuknüpfen, ist es sinnvoller, den Versuch mit Haushaltssäuren </w:t>
                  </w:r>
                  <w:r w:rsidR="00996C72">
                    <w:rPr>
                      <w:color w:val="auto"/>
                    </w:rPr>
                    <w:t xml:space="preserve"> wie Haushaltsessig, Zitronensaft oder einer </w:t>
                  </w:r>
                  <w:r w:rsidR="0057248F">
                    <w:rPr>
                      <w:color w:val="auto"/>
                    </w:rPr>
                    <w:t xml:space="preserve">10%igen </w:t>
                  </w:r>
                  <w:r w:rsidR="00996C72">
                    <w:rPr>
                      <w:color w:val="auto"/>
                    </w:rPr>
                    <w:t xml:space="preserve">Vitamin C-Lösung </w:t>
                  </w:r>
                  <w:r>
                    <w:rPr>
                      <w:color w:val="auto"/>
                    </w:rPr>
                    <w:t>durchzuführen. Damit der Versuch mit schwachen Haushaltssäuren</w:t>
                  </w:r>
                  <w:r w:rsidRPr="000073F3">
                    <w:rPr>
                      <w:color w:val="auto"/>
                    </w:rPr>
                    <w:t xml:space="preserve"> </w:t>
                  </w:r>
                  <w:r w:rsidR="001F400A">
                    <w:rPr>
                      <w:color w:val="auto"/>
                    </w:rPr>
                    <w:t xml:space="preserve">auch </w:t>
                  </w:r>
                  <w:r>
                    <w:rPr>
                      <w:color w:val="auto"/>
                    </w:rPr>
                    <w:t xml:space="preserve">funktioniert, sind allerdings Anspitzer aus Magnesium notwendig. </w:t>
                  </w:r>
                  <w:r w:rsidR="00EC1251">
                    <w:rPr>
                      <w:color w:val="auto"/>
                    </w:rPr>
                    <w:t>Da nirgends gekennzeichnet ist, aus welchem Metall Anspitzer best</w:t>
                  </w:r>
                  <w:r w:rsidR="00EC1251">
                    <w:rPr>
                      <w:color w:val="auto"/>
                    </w:rPr>
                    <w:t>e</w:t>
                  </w:r>
                  <w:r w:rsidR="00EC1251">
                    <w:rPr>
                      <w:color w:val="auto"/>
                    </w:rPr>
                    <w:t>hen, sollten sie</w:t>
                  </w:r>
                  <w:r>
                    <w:rPr>
                      <w:color w:val="auto"/>
                    </w:rPr>
                    <w:t xml:space="preserve"> vor dem Unterricht von der Lehrperson auf ihr Material überprüft werden. </w:t>
                  </w:r>
                  <w:r w:rsidR="0050605E">
                    <w:rPr>
                      <w:color w:val="auto"/>
                    </w:rPr>
                    <w:t xml:space="preserve">Werden in dem Versuch schwache Haushaltssäuren verwendet, kann er auch von den </w:t>
                  </w:r>
                  <w:proofErr w:type="spellStart"/>
                  <w:r w:rsidR="0050605E">
                    <w:rPr>
                      <w:color w:val="auto"/>
                    </w:rPr>
                    <w:t>SuS</w:t>
                  </w:r>
                  <w:proofErr w:type="spellEnd"/>
                  <w:r w:rsidR="0050605E">
                    <w:rPr>
                      <w:color w:val="auto"/>
                    </w:rPr>
                    <w:t xml:space="preserve"> durchgeführt werden.</w:t>
                  </w:r>
                </w:p>
                <w:p w:rsidR="00083586" w:rsidRDefault="007E46C1" w:rsidP="00F821B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Im Unterricht kann </w:t>
                  </w:r>
                  <w:r w:rsidR="00EF64D1">
                    <w:rPr>
                      <w:color w:val="auto"/>
                    </w:rPr>
                    <w:t xml:space="preserve">mithilfe des Versuches </w:t>
                  </w:r>
                  <w:r>
                    <w:rPr>
                      <w:color w:val="auto"/>
                    </w:rPr>
                    <w:t>die zersetzende Wirkung a</w:t>
                  </w:r>
                  <w:r w:rsidR="007C57C8">
                    <w:rPr>
                      <w:color w:val="auto"/>
                    </w:rPr>
                    <w:t xml:space="preserve">ls eine Eigenschaft von Säuren </w:t>
                  </w:r>
                  <w:r>
                    <w:rPr>
                      <w:color w:val="auto"/>
                    </w:rPr>
                    <w:t xml:space="preserve">thematisiert werden. </w:t>
                  </w:r>
                  <w:r w:rsidR="0009736D">
                    <w:rPr>
                      <w:color w:val="auto"/>
                    </w:rPr>
                    <w:t>Au</w:t>
                  </w:r>
                  <w:r w:rsidR="001A546C">
                    <w:rPr>
                      <w:color w:val="auto"/>
                    </w:rPr>
                    <w:t>ßerdem</w:t>
                  </w:r>
                  <w:r w:rsidR="00074BC0">
                    <w:rPr>
                      <w:color w:val="auto"/>
                    </w:rPr>
                    <w:t xml:space="preserve"> </w:t>
                  </w:r>
                  <w:r w:rsidR="001A546C">
                    <w:rPr>
                      <w:color w:val="auto"/>
                    </w:rPr>
                    <w:t>können weitere Versuche zur</w:t>
                  </w:r>
                  <w:r w:rsidR="00074BC0">
                    <w:rPr>
                      <w:color w:val="auto"/>
                    </w:rPr>
                    <w:t xml:space="preserve"> zersetzende</w:t>
                  </w:r>
                  <w:r w:rsidR="001A546C">
                    <w:rPr>
                      <w:color w:val="auto"/>
                    </w:rPr>
                    <w:t>n</w:t>
                  </w:r>
                  <w:r w:rsidR="00074BC0">
                    <w:rPr>
                      <w:color w:val="auto"/>
                    </w:rPr>
                    <w:t xml:space="preserve"> Wirkung </w:t>
                  </w:r>
                  <w:r w:rsidR="001A546C">
                    <w:rPr>
                      <w:color w:val="auto"/>
                    </w:rPr>
                    <w:t xml:space="preserve">von Säuren </w:t>
                  </w:r>
                  <w:r w:rsidR="00074BC0">
                    <w:rPr>
                      <w:color w:val="auto"/>
                    </w:rPr>
                    <w:t xml:space="preserve">auf Textilien </w:t>
                  </w:r>
                  <w:r w:rsidR="0073199F">
                    <w:rPr>
                      <w:color w:val="auto"/>
                    </w:rPr>
                    <w:t xml:space="preserve">(Leinen, Baumwolle) </w:t>
                  </w:r>
                  <w:r w:rsidR="0009736D">
                    <w:rPr>
                      <w:color w:val="auto"/>
                    </w:rPr>
                    <w:t xml:space="preserve">und </w:t>
                  </w:r>
                  <w:r w:rsidR="001A546C">
                    <w:rPr>
                      <w:color w:val="auto"/>
                    </w:rPr>
                    <w:t>Kalkstein durchgeführt und im Anschluss daran über den richtigen</w:t>
                  </w:r>
                  <w:r w:rsidR="0009736D">
                    <w:rPr>
                      <w:color w:val="auto"/>
                    </w:rPr>
                    <w:t xml:space="preserve"> Umgang mit stark sauren Lösungen gesprochen</w:t>
                  </w:r>
                  <w:r w:rsidR="00074BC0">
                    <w:rPr>
                      <w:color w:val="auto"/>
                    </w:rPr>
                    <w:t xml:space="preserve"> werde</w:t>
                  </w:r>
                  <w:r w:rsidR="0009736D">
                    <w:rPr>
                      <w:color w:val="auto"/>
                    </w:rPr>
                    <w:t>n</w:t>
                  </w:r>
                  <w:r w:rsidR="008F000A">
                    <w:rPr>
                      <w:color w:val="auto"/>
                    </w:rPr>
                    <w:t xml:space="preserve"> (Schutzbri</w:t>
                  </w:r>
                  <w:r w:rsidR="008F000A">
                    <w:rPr>
                      <w:color w:val="auto"/>
                    </w:rPr>
                    <w:t>l</w:t>
                  </w:r>
                  <w:r w:rsidR="008F000A">
                    <w:rPr>
                      <w:color w:val="auto"/>
                    </w:rPr>
                    <w:t>le</w:t>
                  </w:r>
                  <w:r w:rsidR="003D6348">
                    <w:rPr>
                      <w:color w:val="auto"/>
                    </w:rPr>
                    <w:t>/</w:t>
                  </w:r>
                  <w:r w:rsidR="00947D27">
                    <w:rPr>
                      <w:color w:val="auto"/>
                    </w:rPr>
                    <w:t>Labork</w:t>
                  </w:r>
                  <w:r w:rsidR="003D6348">
                    <w:rPr>
                      <w:color w:val="auto"/>
                    </w:rPr>
                    <w:t>ittel</w:t>
                  </w:r>
                  <w:r w:rsidR="008F000A">
                    <w:rPr>
                      <w:color w:val="auto"/>
                    </w:rPr>
                    <w:t xml:space="preserve"> tragen, Säuredämpfe nicht einatmen, Haut- und Kleidungskontakt vermeiden, Säurespritzer auf Haut und Kleidung mit viel Wasser abwaschen)</w:t>
                  </w:r>
                  <w:r w:rsidR="0009736D">
                    <w:rPr>
                      <w:color w:val="auto"/>
                    </w:rPr>
                    <w:t xml:space="preserve">. </w:t>
                  </w:r>
                  <w:r w:rsidR="0057248F">
                    <w:rPr>
                      <w:color w:val="auto"/>
                    </w:rPr>
                    <w:t xml:space="preserve">Außerdem ist es sinnvoll mit den </w:t>
                  </w:r>
                  <w:proofErr w:type="spellStart"/>
                  <w:r w:rsidR="0057248F">
                    <w:rPr>
                      <w:color w:val="auto"/>
                    </w:rPr>
                    <w:t>SuS</w:t>
                  </w:r>
                  <w:proofErr w:type="spellEnd"/>
                  <w:r w:rsidR="0057248F">
                    <w:rPr>
                      <w:color w:val="auto"/>
                    </w:rPr>
                    <w:t xml:space="preserve"> zu erarbeiten, warum die Vitamin C-Lösung nicht mehr getrunken werden darf. </w:t>
                  </w:r>
                  <w:r w:rsidR="00083586">
                    <w:rPr>
                      <w:color w:val="auto"/>
                    </w:rPr>
                    <w:t xml:space="preserve">Der Versuch kann je nach Vorwissen der </w:t>
                  </w:r>
                  <w:proofErr w:type="spellStart"/>
                  <w:r w:rsidR="00083586">
                    <w:rPr>
                      <w:color w:val="auto"/>
                    </w:rPr>
                    <w:t>SuS</w:t>
                  </w:r>
                  <w:proofErr w:type="spellEnd"/>
                  <w:r w:rsidR="00083586">
                    <w:rPr>
                      <w:color w:val="auto"/>
                    </w:rPr>
                    <w:t xml:space="preserve"> im Unterricht als Problem- oder Bestätigungsexper</w:t>
                  </w:r>
                  <w:r w:rsidR="00083586">
                    <w:rPr>
                      <w:color w:val="auto"/>
                    </w:rPr>
                    <w:t>i</w:t>
                  </w:r>
                  <w:r w:rsidR="00083586">
                    <w:rPr>
                      <w:color w:val="auto"/>
                    </w:rPr>
                    <w:t>ment eingesetzt werden</w:t>
                  </w:r>
                  <w:r w:rsidR="00083586" w:rsidRPr="00F31EBF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 xml:space="preserve"> </w:t>
                  </w:r>
                </w:p>
                <w:p w:rsidR="00083586" w:rsidRDefault="00083586" w:rsidP="0050605E">
                  <w:pPr>
                    <w:rPr>
                      <w:color w:val="auto"/>
                    </w:rPr>
                  </w:pPr>
                </w:p>
                <w:p w:rsidR="007A5537" w:rsidRPr="00F31EBF" w:rsidRDefault="007A5537" w:rsidP="0050605E">
                  <w:pPr>
                    <w:rPr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12120" w:rsidRPr="009A5163" w:rsidRDefault="00912120" w:rsidP="009A5163">
      <w:pPr>
        <w:tabs>
          <w:tab w:val="left" w:pos="1701"/>
          <w:tab w:val="left" w:pos="1985"/>
        </w:tabs>
      </w:pPr>
    </w:p>
    <w:sectPr w:rsidR="00912120" w:rsidRPr="009A5163" w:rsidSect="00AA3A1E">
      <w:headerReference w:type="default" r:id="rId22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01" w:rsidRDefault="00512B01" w:rsidP="0086227B">
      <w:pPr>
        <w:spacing w:after="0" w:line="240" w:lineRule="auto"/>
      </w:pPr>
      <w:r>
        <w:separator/>
      </w:r>
    </w:p>
  </w:endnote>
  <w:endnote w:type="continuationSeparator" w:id="0">
    <w:p w:rsidR="00512B01" w:rsidRDefault="00512B01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01" w:rsidRDefault="00512B01" w:rsidP="0086227B">
      <w:pPr>
        <w:spacing w:after="0" w:line="240" w:lineRule="auto"/>
      </w:pPr>
      <w:r>
        <w:separator/>
      </w:r>
    </w:p>
  </w:footnote>
  <w:footnote w:type="continuationSeparator" w:id="0">
    <w:p w:rsidR="00512B01" w:rsidRDefault="00512B01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AA46AD" w:rsidP="002724A2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E50DD3">
            <w:rPr>
              <w:noProof/>
            </w:rPr>
            <w:t>LV – Einwirkung einer starken Säure auf Metallanspitzer</w:t>
          </w:r>
        </w:fldSimple>
        <w:r w:rsidR="002724A2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AA3A1E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E50DD3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AA3A1E">
          <w:tab/>
        </w:r>
        <w:r w:rsidR="00AA3A1E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AA46AD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3827"/>
    <w:rsid w:val="0012481E"/>
    <w:rsid w:val="00125CEA"/>
    <w:rsid w:val="00126F97"/>
    <w:rsid w:val="0012753E"/>
    <w:rsid w:val="001346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24A2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324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BA2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2B01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1FA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33AE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3E4E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6F26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3A1E"/>
    <w:rsid w:val="00AA46AD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AF2C09"/>
    <w:rsid w:val="00B02829"/>
    <w:rsid w:val="00B02DB9"/>
    <w:rsid w:val="00B16FF2"/>
    <w:rsid w:val="00B20211"/>
    <w:rsid w:val="00B21F20"/>
    <w:rsid w:val="00B224C8"/>
    <w:rsid w:val="00B2311F"/>
    <w:rsid w:val="00B300BB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5D46"/>
    <w:rsid w:val="00C179F2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7019"/>
    <w:rsid w:val="00D17C43"/>
    <w:rsid w:val="00D24BD9"/>
    <w:rsid w:val="00D30767"/>
    <w:rsid w:val="00D343A6"/>
    <w:rsid w:val="00D355BD"/>
    <w:rsid w:val="00D36E88"/>
    <w:rsid w:val="00D407E8"/>
    <w:rsid w:val="00D42A5C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0DD3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3B91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www.chemieunte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DABA3244-59A9-4F23-BE3E-B702211F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9</cp:revision>
  <cp:lastPrinted>2015-07-27T15:01:00Z</cp:lastPrinted>
  <dcterms:created xsi:type="dcterms:W3CDTF">2015-08-27T17:35:00Z</dcterms:created>
  <dcterms:modified xsi:type="dcterms:W3CDTF">2015-08-28T08:08:00Z</dcterms:modified>
</cp:coreProperties>
</file>