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9" w:rsidRDefault="00E50835" w:rsidP="007A5D3A">
      <w:pPr>
        <w:pStyle w:val="berschrift1"/>
        <w:numPr>
          <w:ilvl w:val="0"/>
          <w:numId w:val="0"/>
        </w:numPr>
        <w:spacing w:before="0"/>
        <w:ind w:left="432" w:hanging="432"/>
      </w:pPr>
      <w:bookmarkStart w:id="0" w:name="_Toc425843931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.5pt;margin-top:38.65pt;width:454.2pt;height:123pt;z-index:251790336;mso-width-relative:margin;mso-height-relative:margin" fillcolor="white [3201]" strokecolor="#4bacc6 [3208]" strokeweight="1pt">
            <v:stroke dashstyle="dash"/>
            <v:shadow color="#868686"/>
            <v:textbox style="mso-next-textbox:#_x0000_s1161">
              <w:txbxContent>
                <w:p w:rsidR="00690D42" w:rsidRDefault="00825D9C" w:rsidP="004C690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zeigt, dass selbst schwache Haushaltssäuren </w:t>
                  </w:r>
                  <w:r w:rsidR="00907313">
                    <w:rPr>
                      <w:color w:val="auto"/>
                    </w:rPr>
                    <w:t xml:space="preserve">wie Essigessenz und Zitronensaft </w:t>
                  </w:r>
                  <w:r>
                    <w:rPr>
                      <w:color w:val="auto"/>
                    </w:rPr>
                    <w:t xml:space="preserve">eine zersetzende Wirkung auf </w:t>
                  </w:r>
                  <w:r w:rsidR="00194CAD">
                    <w:rPr>
                      <w:color w:val="auto"/>
                    </w:rPr>
                    <w:t>unedle Metalle haben.</w:t>
                  </w:r>
                  <w:r w:rsidR="00A11C02">
                    <w:rPr>
                      <w:color w:val="auto"/>
                    </w:rPr>
                    <w:t xml:space="preserve"> </w:t>
                  </w:r>
                </w:p>
                <w:p w:rsidR="00401E11" w:rsidRDefault="00401E11" w:rsidP="00084850">
                  <w:pPr>
                    <w:rPr>
                      <w:color w:val="auto"/>
                    </w:rPr>
                  </w:pPr>
                  <w:r w:rsidRPr="008F0C5F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Es dürfen keine offenen Flammen neben den Gläsern sein, da </w:t>
                  </w:r>
                  <w:r w:rsidR="00084850">
                    <w:rPr>
                      <w:color w:val="auto"/>
                    </w:rPr>
                    <w:t xml:space="preserve">sich </w:t>
                  </w:r>
                  <w:r>
                    <w:rPr>
                      <w:color w:val="auto"/>
                    </w:rPr>
                    <w:t xml:space="preserve">bei dem Versuch brennbarer Wasserstoff </w:t>
                  </w:r>
                  <w:r w:rsidR="00084850">
                    <w:rPr>
                      <w:color w:val="auto"/>
                    </w:rPr>
                    <w:t>bildet</w:t>
                  </w:r>
                  <w:r>
                    <w:rPr>
                      <w:color w:val="auto"/>
                    </w:rPr>
                    <w:t>.</w:t>
                  </w:r>
                  <w:r w:rsidR="00C64F16">
                    <w:rPr>
                      <w:color w:val="auto"/>
                    </w:rPr>
                    <w:t xml:space="preserve"> Außerdem sollte der Raum gut gelüftet werden.</w:t>
                  </w:r>
                </w:p>
                <w:p w:rsidR="00DB4507" w:rsidRDefault="00415055" w:rsidP="0041505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wird kein spezielles Vorwissen benötigt.</w:t>
                  </w:r>
                </w:p>
                <w:p w:rsidR="00DB4507" w:rsidRDefault="00DB4507" w:rsidP="004C690C">
                  <w:pPr>
                    <w:rPr>
                      <w:color w:val="auto"/>
                    </w:rPr>
                  </w:pPr>
                </w:p>
                <w:p w:rsidR="00DB4507" w:rsidRPr="00FA3CFF" w:rsidRDefault="00DB4507" w:rsidP="004C690C">
                  <w:pPr>
                    <w:rPr>
                      <w:color w:val="auto"/>
                    </w:rPr>
                  </w:pPr>
                </w:p>
              </w:txbxContent>
            </v:textbox>
            <w10:wrap type="square"/>
          </v:shape>
        </w:pict>
      </w:r>
      <w:r w:rsidR="000C4C3B">
        <w:t>S</w:t>
      </w:r>
      <w:r w:rsidR="00984EF9">
        <w:t xml:space="preserve">V – </w:t>
      </w:r>
      <w:bookmarkEnd w:id="0"/>
      <w:r w:rsidR="005511E2">
        <w:t>Einwirkung von Haushaltssäuren auf Magnesiumband</w:t>
      </w:r>
    </w:p>
    <w:p w:rsidR="00D24BD9" w:rsidRPr="00005197" w:rsidRDefault="00D24BD9" w:rsidP="00D24BD9">
      <w:pPr>
        <w:rPr>
          <w:sz w:val="16"/>
          <w:szCs w:val="16"/>
        </w:rPr>
      </w:pPr>
    </w:p>
    <w:p w:rsidR="00034864" w:rsidRDefault="00034864" w:rsidP="00690D42">
      <w:pPr>
        <w:tabs>
          <w:tab w:val="left" w:pos="1701"/>
          <w:tab w:val="left" w:pos="1985"/>
        </w:tabs>
        <w:ind w:left="1980" w:hanging="1980"/>
      </w:pPr>
      <w:r>
        <w:t>Gefahrenstoffe:</w:t>
      </w:r>
      <w:r>
        <w:tab/>
      </w:r>
      <w:r>
        <w:tab/>
        <w:t>Es werden keine Gefahrenstoffe eingesetzt.</w:t>
      </w:r>
    </w:p>
    <w:p w:rsidR="004C690C" w:rsidRDefault="004C690C" w:rsidP="00690D4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115A1D">
        <w:t>2 Reagenzgläser</w:t>
      </w:r>
      <w:r w:rsidR="00690D42">
        <w:t xml:space="preserve">, </w:t>
      </w:r>
      <w:r w:rsidR="00115A1D">
        <w:t xml:space="preserve">2 </w:t>
      </w:r>
      <w:r w:rsidR="00690D42">
        <w:t>Stativ</w:t>
      </w:r>
      <w:r w:rsidR="00115A1D">
        <w:t>e</w:t>
      </w:r>
      <w:r w:rsidR="00572A12">
        <w:t xml:space="preserve">, 2 </w:t>
      </w:r>
      <w:r w:rsidR="00115A1D">
        <w:t>Klemme</w:t>
      </w:r>
      <w:r w:rsidR="00572A12">
        <w:t xml:space="preserve">n, 2 </w:t>
      </w:r>
      <w:r w:rsidR="00690D42">
        <w:t>Muffe</w:t>
      </w:r>
      <w:r w:rsidR="00572A12">
        <w:t>n</w:t>
      </w:r>
      <w:r w:rsidR="00690D42">
        <w:t>.</w:t>
      </w:r>
    </w:p>
    <w:p w:rsidR="004C690C" w:rsidRDefault="004C690C" w:rsidP="000969F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0969FD">
        <w:t>Essigessenz</w:t>
      </w:r>
      <w:r w:rsidR="00690D42">
        <w:t xml:space="preserve">, </w:t>
      </w:r>
      <w:r w:rsidR="000969FD">
        <w:t xml:space="preserve">Zitronensaft, </w:t>
      </w:r>
      <w:r w:rsidR="00690D42">
        <w:t xml:space="preserve">zwei </w:t>
      </w:r>
      <w:r w:rsidR="000969FD">
        <w:t>5 cm lange</w:t>
      </w:r>
      <w:r w:rsidR="00690D42">
        <w:t xml:space="preserve"> Magnesiumb</w:t>
      </w:r>
      <w:r w:rsidR="000969FD">
        <w:t>ä</w:t>
      </w:r>
      <w:r w:rsidR="00690D42">
        <w:t>nd</w:t>
      </w:r>
      <w:r w:rsidR="000969FD">
        <w:t>er</w:t>
      </w:r>
      <w:r w:rsidR="00690D42">
        <w:t>.</w:t>
      </w:r>
    </w:p>
    <w:p w:rsidR="00340D88" w:rsidRDefault="004C690C" w:rsidP="002E1F0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340D88">
        <w:t>2</w:t>
      </w:r>
      <w:r w:rsidR="00565E95">
        <w:t xml:space="preserve"> Reagenzgläser wer</w:t>
      </w:r>
      <w:r w:rsidR="00115A1D">
        <w:t>d</w:t>
      </w:r>
      <w:r w:rsidR="00565E95">
        <w:t>en</w:t>
      </w:r>
      <w:r w:rsidR="00115A1D">
        <w:t xml:space="preserve"> mithilfe </w:t>
      </w:r>
      <w:r w:rsidR="00340D88">
        <w:t>von zwei</w:t>
      </w:r>
      <w:r w:rsidR="00115A1D">
        <w:t xml:space="preserve"> Klemme</w:t>
      </w:r>
      <w:r w:rsidR="00340D88">
        <w:t>n</w:t>
      </w:r>
      <w:r w:rsidR="00115A1D">
        <w:t xml:space="preserve"> und Muffe</w:t>
      </w:r>
      <w:r w:rsidR="00340D88">
        <w:t>n</w:t>
      </w:r>
      <w:r w:rsidR="00115A1D">
        <w:t xml:space="preserve"> a</w:t>
      </w:r>
      <w:r w:rsidR="00340D88">
        <w:t>n</w:t>
      </w:r>
      <w:r w:rsidR="00115A1D">
        <w:t xml:space="preserve"> </w:t>
      </w:r>
      <w:r w:rsidR="00340D88">
        <w:t xml:space="preserve">zwei </w:t>
      </w:r>
      <w:r w:rsidR="00115A1D">
        <w:t>Stativ</w:t>
      </w:r>
      <w:r w:rsidR="00340D88">
        <w:t>en</w:t>
      </w:r>
      <w:r w:rsidR="00115A1D">
        <w:t xml:space="preserve"> befestigt</w:t>
      </w:r>
      <w:r w:rsidR="00340D88">
        <w:t>.</w:t>
      </w:r>
      <w:r w:rsidR="00115A1D">
        <w:t xml:space="preserve"> </w:t>
      </w:r>
      <w:r w:rsidR="00340D88">
        <w:t>E</w:t>
      </w:r>
      <w:r w:rsidR="00115A1D">
        <w:t xml:space="preserve">in </w:t>
      </w:r>
      <w:r w:rsidR="00F65D26">
        <w:t>Viertel</w:t>
      </w:r>
      <w:r w:rsidR="00115A1D">
        <w:t xml:space="preserve"> des </w:t>
      </w:r>
      <w:r w:rsidR="00F65D26">
        <w:t xml:space="preserve">einen </w:t>
      </w:r>
      <w:r w:rsidR="00115A1D">
        <w:t xml:space="preserve">Reagenzglases </w:t>
      </w:r>
      <w:r w:rsidR="00340D88">
        <w:t xml:space="preserve">wird </w:t>
      </w:r>
      <w:r w:rsidR="00115A1D">
        <w:t xml:space="preserve">mit </w:t>
      </w:r>
      <w:r w:rsidR="00F65D26">
        <w:t>Essige</w:t>
      </w:r>
      <w:r w:rsidR="00F65D26">
        <w:t>s</w:t>
      </w:r>
      <w:r w:rsidR="00F65D26">
        <w:t>senz</w:t>
      </w:r>
      <w:r w:rsidR="00340D88">
        <w:t xml:space="preserve">, </w:t>
      </w:r>
      <w:r w:rsidR="00F65D26">
        <w:t>ein Viertel des anderen Reagenzglases mit Zitronensaft</w:t>
      </w:r>
      <w:r w:rsidR="00115A1D">
        <w:t xml:space="preserve"> befüllt. A</w:t>
      </w:r>
      <w:r w:rsidR="00115A1D">
        <w:t>n</w:t>
      </w:r>
      <w:r w:rsidR="00115A1D">
        <w:t xml:space="preserve">schließend </w:t>
      </w:r>
      <w:r w:rsidR="008C683A">
        <w:t>w</w:t>
      </w:r>
      <w:r w:rsidR="002742C8">
        <w:t>er</w:t>
      </w:r>
      <w:r w:rsidR="008C683A">
        <w:t>d</w:t>
      </w:r>
      <w:r w:rsidR="002742C8">
        <w:t>en</w:t>
      </w:r>
      <w:r w:rsidR="008C683A">
        <w:t xml:space="preserve"> </w:t>
      </w:r>
      <w:r w:rsidR="00600EB1">
        <w:t>zwei</w:t>
      </w:r>
      <w:r w:rsidR="008C683A">
        <w:t xml:space="preserve"> Magnesiumbänder</w:t>
      </w:r>
      <w:r w:rsidR="00115A1D">
        <w:t xml:space="preserve"> </w:t>
      </w:r>
      <w:r w:rsidR="002E1F0A">
        <w:t xml:space="preserve">gleichzeitig </w:t>
      </w:r>
      <w:r w:rsidR="00115A1D">
        <w:t xml:space="preserve">in </w:t>
      </w:r>
      <w:r w:rsidR="008C683A">
        <w:t>die</w:t>
      </w:r>
      <w:r w:rsidR="00115A1D">
        <w:t xml:space="preserve"> </w:t>
      </w:r>
      <w:r w:rsidR="008C683A">
        <w:t>Reagenzgl</w:t>
      </w:r>
      <w:r w:rsidR="008C683A">
        <w:t>ä</w:t>
      </w:r>
      <w:r w:rsidR="008C683A">
        <w:t xml:space="preserve">ser </w:t>
      </w:r>
      <w:r w:rsidR="00115A1D">
        <w:t xml:space="preserve">gegeben. </w:t>
      </w:r>
    </w:p>
    <w:p w:rsidR="004C690C" w:rsidRDefault="00206C5D" w:rsidP="0000519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1090930</wp:posOffset>
            </wp:positionV>
            <wp:extent cx="1533525" cy="2105025"/>
            <wp:effectExtent l="19050" t="0" r="9525" b="0"/>
            <wp:wrapTight wrapText="bothSides">
              <wp:wrapPolygon edited="0">
                <wp:start x="-268" y="0"/>
                <wp:lineTo x="-268" y="21502"/>
                <wp:lineTo x="21734" y="21502"/>
                <wp:lineTo x="21734" y="0"/>
                <wp:lineTo x="-268" y="0"/>
              </wp:wrapPolygon>
            </wp:wrapTight>
            <wp:docPr id="11" name="Bild 11" descr="F:\DCIM\100SSCAM\S6301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Grafik 6" descr="F:\DCIM\100SSCAM\S6301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197">
        <w:rPr>
          <w:noProof/>
          <w:lang w:eastAsia="de-DE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1094740</wp:posOffset>
            </wp:positionV>
            <wp:extent cx="1631950" cy="2105025"/>
            <wp:effectExtent l="19050" t="0" r="6350" b="0"/>
            <wp:wrapTight wrapText="bothSides">
              <wp:wrapPolygon edited="0">
                <wp:start x="-252" y="0"/>
                <wp:lineTo x="-252" y="21502"/>
                <wp:lineTo x="21684" y="21502"/>
                <wp:lineTo x="21684" y="0"/>
                <wp:lineTo x="-252" y="0"/>
              </wp:wrapPolygon>
            </wp:wrapTight>
            <wp:docPr id="8" name="Bild 6" descr="F:\DCIM\100SSCAM\S630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SSCAM\S6301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72B">
        <w:t>Beobachtung:</w:t>
      </w:r>
      <w:r w:rsidR="007B472B">
        <w:tab/>
      </w:r>
      <w:r w:rsidR="00E1654E">
        <w:tab/>
      </w:r>
      <w:r w:rsidR="00251BD1">
        <w:t>In beiden sauren Lösungen findet eine</w:t>
      </w:r>
      <w:r w:rsidR="00CD5928">
        <w:t xml:space="preserve"> </w:t>
      </w:r>
      <w:r w:rsidR="00251BD1">
        <w:t>B</w:t>
      </w:r>
      <w:r w:rsidR="009965E2">
        <w:t>läschenbildung</w:t>
      </w:r>
      <w:r w:rsidR="00251BD1">
        <w:t xml:space="preserve"> statt</w:t>
      </w:r>
      <w:r w:rsidR="00CD5928">
        <w:t>.</w:t>
      </w:r>
      <w:r w:rsidR="009965E2">
        <w:t xml:space="preserve"> </w:t>
      </w:r>
      <w:r w:rsidR="00CD5928">
        <w:t xml:space="preserve">Die </w:t>
      </w:r>
      <w:r w:rsidR="009965E2">
        <w:t>beide</w:t>
      </w:r>
      <w:r w:rsidR="00CD5928">
        <w:t>n</w:t>
      </w:r>
      <w:r w:rsidR="009965E2">
        <w:t xml:space="preserve"> Magnesiumbänder </w:t>
      </w:r>
      <w:r w:rsidR="00CD5928">
        <w:t xml:space="preserve">sind </w:t>
      </w:r>
      <w:r w:rsidR="00353D44">
        <w:t xml:space="preserve">nach wenigen Minuten </w:t>
      </w:r>
      <w:r w:rsidR="009965E2">
        <w:t>mit dem bloße</w:t>
      </w:r>
      <w:r w:rsidR="00863492">
        <w:t>n</w:t>
      </w:r>
      <w:r w:rsidR="009965E2">
        <w:t xml:space="preserve"> Auge nicht mehr zu beobachten.</w:t>
      </w:r>
      <w:r w:rsidR="00A55E71">
        <w:t xml:space="preserve"> </w:t>
      </w:r>
      <w:r w:rsidR="00005197">
        <w:t>Das Magnesiumband in Essigessenz wird dabei von der Säure schneller zersetzt als das im Zitronensaft</w:t>
      </w:r>
      <w:r w:rsidR="00E07C24">
        <w:t xml:space="preserve"> (siehe Abb. 4)</w:t>
      </w:r>
      <w:r w:rsidR="00005197">
        <w:t>.</w:t>
      </w:r>
    </w:p>
    <w:p w:rsidR="004C690C" w:rsidRPr="00331C46" w:rsidRDefault="004C690C" w:rsidP="00D86C36">
      <w:pPr>
        <w:pStyle w:val="Beschriftung"/>
        <w:jc w:val="left"/>
        <w:rPr>
          <w:bCs w:val="0"/>
          <w:color w:val="1D1B11" w:themeColor="background2" w:themeShade="1A"/>
          <w:sz w:val="22"/>
          <w:szCs w:val="22"/>
          <w:highlight w:val="yellow"/>
        </w:rPr>
      </w:pPr>
    </w:p>
    <w:p w:rsidR="0031620D" w:rsidRDefault="0031620D" w:rsidP="0031620D">
      <w:pPr>
        <w:rPr>
          <w:highlight w:val="yellow"/>
        </w:rPr>
      </w:pPr>
    </w:p>
    <w:p w:rsidR="0031620D" w:rsidRDefault="0031620D" w:rsidP="0031620D">
      <w:pPr>
        <w:rPr>
          <w:highlight w:val="yellow"/>
        </w:rPr>
      </w:pPr>
    </w:p>
    <w:p w:rsidR="0031620D" w:rsidRDefault="0031620D" w:rsidP="0031620D">
      <w:pPr>
        <w:rPr>
          <w:highlight w:val="yellow"/>
        </w:rPr>
      </w:pPr>
    </w:p>
    <w:p w:rsidR="00E1654E" w:rsidRDefault="00E1654E" w:rsidP="0031620D">
      <w:pPr>
        <w:rPr>
          <w:highlight w:val="yellow"/>
        </w:rPr>
      </w:pPr>
    </w:p>
    <w:p w:rsidR="0031620D" w:rsidRPr="0031620D" w:rsidRDefault="0031620D" w:rsidP="0031620D">
      <w:pPr>
        <w:rPr>
          <w:highlight w:val="yellow"/>
        </w:rPr>
      </w:pPr>
    </w:p>
    <w:p w:rsidR="00DE4604" w:rsidRDefault="00A55E71" w:rsidP="00E407A8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 w:rsidRPr="002B041D">
        <w:t xml:space="preserve">Abb. </w:t>
      </w:r>
      <w:r>
        <w:t>3</w:t>
      </w:r>
      <w:r w:rsidRPr="002B041D">
        <w:t xml:space="preserve"> </w:t>
      </w:r>
      <w:r w:rsidR="00FB1392">
        <w:t>-</w:t>
      </w:r>
      <w:r w:rsidR="00C7094E">
        <w:t xml:space="preserve"> </w:t>
      </w:r>
      <w:r w:rsidR="00061979">
        <w:rPr>
          <w:noProof/>
        </w:rPr>
        <w:t>Essigessenz (rechts)</w:t>
      </w:r>
      <w:r w:rsidRPr="002B041D">
        <w:rPr>
          <w:noProof/>
        </w:rPr>
        <w:t xml:space="preserve"> </w:t>
      </w:r>
      <w:r w:rsidR="00061979">
        <w:rPr>
          <w:noProof/>
        </w:rPr>
        <w:t xml:space="preserve">und </w:t>
      </w:r>
      <w:r w:rsidR="00206C5D">
        <w:rPr>
          <w:noProof/>
        </w:rPr>
        <w:tab/>
        <w:t xml:space="preserve">           </w:t>
      </w:r>
      <w:r w:rsidR="00DE4604" w:rsidRPr="002B041D">
        <w:t xml:space="preserve">Abb. </w:t>
      </w:r>
      <w:r w:rsidR="00DE4604">
        <w:t>4</w:t>
      </w:r>
      <w:r w:rsidR="00DE4604" w:rsidRPr="002B041D">
        <w:t xml:space="preserve"> </w:t>
      </w:r>
      <w:r w:rsidR="00E407A8">
        <w:t>-</w:t>
      </w:r>
      <w:r w:rsidR="00DE4604" w:rsidRPr="002B041D">
        <w:t xml:space="preserve"> </w:t>
      </w:r>
      <w:r w:rsidR="00DE4604">
        <w:rPr>
          <w:noProof/>
        </w:rPr>
        <w:t>Essigessenz (links)</w:t>
      </w:r>
      <w:r w:rsidR="00DE4604" w:rsidRPr="002B041D">
        <w:rPr>
          <w:noProof/>
        </w:rPr>
        <w:t xml:space="preserve"> </w:t>
      </w:r>
      <w:r w:rsidR="00DE4604">
        <w:rPr>
          <w:noProof/>
        </w:rPr>
        <w:t xml:space="preserve">und Zitronensaft Zitronensaft (links) </w:t>
      </w:r>
      <w:r w:rsidR="00DE4604" w:rsidRPr="002B041D">
        <w:rPr>
          <w:noProof/>
        </w:rPr>
        <w:t xml:space="preserve">vor der Zugabe </w:t>
      </w:r>
      <w:r w:rsidR="00DE4604">
        <w:rPr>
          <w:noProof/>
        </w:rPr>
        <w:t xml:space="preserve">                 (rechts)</w:t>
      </w:r>
      <w:r w:rsidR="00CF5B5F">
        <w:rPr>
          <w:noProof/>
        </w:rPr>
        <w:t xml:space="preserve"> </w:t>
      </w:r>
      <w:r w:rsidR="00DE4604">
        <w:rPr>
          <w:noProof/>
        </w:rPr>
        <w:t xml:space="preserve">nach </w:t>
      </w:r>
      <w:r w:rsidR="00DE4604" w:rsidRPr="002B041D">
        <w:rPr>
          <w:noProof/>
        </w:rPr>
        <w:t xml:space="preserve">der Zugabe </w:t>
      </w:r>
      <w:r w:rsidR="00DE4604">
        <w:rPr>
          <w:noProof/>
        </w:rPr>
        <w:t xml:space="preserve">der </w:t>
      </w:r>
    </w:p>
    <w:p w:rsidR="00A55E71" w:rsidRDefault="00DE4604" w:rsidP="00D17019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rPr>
          <w:noProof/>
        </w:rPr>
        <w:t>der Magnesiumbänder</w:t>
      </w:r>
      <w:r w:rsidRPr="002B041D">
        <w:rPr>
          <w:noProof/>
        </w:rPr>
        <w:t>.</w:t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  <w:t xml:space="preserve">           Magnesiumbänder</w:t>
      </w:r>
      <w:r w:rsidRPr="002B041D">
        <w:rPr>
          <w:noProof/>
        </w:rPr>
        <w:t xml:space="preserve">.          </w:t>
      </w:r>
    </w:p>
    <w:p w:rsidR="00D80B1F" w:rsidRPr="00D80B1F" w:rsidRDefault="00D80B1F" w:rsidP="00D80B1F">
      <w:pPr>
        <w:tabs>
          <w:tab w:val="left" w:pos="1701"/>
          <w:tab w:val="left" w:pos="1985"/>
        </w:tabs>
        <w:ind w:left="1985" w:hanging="1985"/>
        <w:rPr>
          <w:sz w:val="4"/>
          <w:szCs w:val="4"/>
        </w:rPr>
      </w:pPr>
    </w:p>
    <w:p w:rsidR="004C690C" w:rsidRDefault="004C690C" w:rsidP="00985145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D80B1F" w:rsidRPr="003C7DC3">
        <w:t xml:space="preserve">Es bildet sich </w:t>
      </w:r>
      <w:r w:rsidR="00D80B1F">
        <w:t xml:space="preserve">in beiden Reagenzgläsern </w:t>
      </w:r>
      <w:r w:rsidR="00D80B1F" w:rsidRPr="003C7DC3">
        <w:t xml:space="preserve">ein Gas. </w:t>
      </w:r>
      <w:r w:rsidR="00FC6287">
        <w:t>Die beiden Magnesiu</w:t>
      </w:r>
      <w:r w:rsidR="00FC6287">
        <w:t>m</w:t>
      </w:r>
      <w:r w:rsidR="00FC6287">
        <w:t>bänder</w:t>
      </w:r>
      <w:r w:rsidR="00D80B1F" w:rsidRPr="003C7DC3">
        <w:t xml:space="preserve"> w</w:t>
      </w:r>
      <w:r w:rsidR="00FC6287">
        <w:t>e</w:t>
      </w:r>
      <w:r w:rsidR="00D80B1F" w:rsidRPr="003C7DC3">
        <w:t>rd</w:t>
      </w:r>
      <w:r w:rsidR="00FC6287">
        <w:t xml:space="preserve">en vom Essigessenz und Zitronensaft </w:t>
      </w:r>
      <w:r w:rsidR="00D80B1F" w:rsidRPr="003C7DC3">
        <w:t>zersetzt.</w:t>
      </w:r>
      <w:r w:rsidR="00D80B1F">
        <w:t xml:space="preserve"> </w:t>
      </w:r>
      <w:r w:rsidR="00EF5DE9">
        <w:t xml:space="preserve">Essigessenz ist eine stärkere Säure als Zitronensaft, da </w:t>
      </w:r>
      <w:r w:rsidR="00985145">
        <w:t>sie</w:t>
      </w:r>
      <w:r w:rsidR="00EF5DE9">
        <w:t xml:space="preserve"> das Magnesiumband schneller </w:t>
      </w:r>
      <w:r w:rsidR="00EF5DE9">
        <w:lastRenderedPageBreak/>
        <w:t xml:space="preserve">zersetzt als der Zitronensaft. </w:t>
      </w:r>
      <w:r w:rsidR="00D80B1F">
        <w:t xml:space="preserve">Es kann also verallgemeinert werden, dass </w:t>
      </w:r>
      <w:r w:rsidR="00CF265B">
        <w:t>selbst schwache</w:t>
      </w:r>
      <w:r w:rsidR="00D80B1F">
        <w:t xml:space="preserve"> </w:t>
      </w:r>
      <w:r w:rsidR="00CF265B">
        <w:t>Haushalts</w:t>
      </w:r>
      <w:r w:rsidR="00D80B1F">
        <w:t xml:space="preserve">äuren Metalle angreifen und zersetzen können. </w:t>
      </w:r>
    </w:p>
    <w:p w:rsidR="004C690C" w:rsidRDefault="004C690C" w:rsidP="00BE2C0F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 w:rsidR="00BE2C0F">
        <w:t>Die Lösungen werden mit viel Wasser in den Abfluss gegeben.</w:t>
      </w:r>
    </w:p>
    <w:p w:rsidR="004C690C" w:rsidRPr="00B02DB9" w:rsidRDefault="007A5609" w:rsidP="00362A36">
      <w:pPr>
        <w:ind w:left="1985" w:hanging="1985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t>D.</w:t>
      </w:r>
      <w:r w:rsidR="00362A36">
        <w:t> </w:t>
      </w:r>
      <w:proofErr w:type="spellStart"/>
      <w:r>
        <w:t>Wiechoczek</w:t>
      </w:r>
      <w:proofErr w:type="spellEnd"/>
      <w:r>
        <w:t xml:space="preserve">, Professor </w:t>
      </w:r>
      <w:proofErr w:type="spellStart"/>
      <w:r>
        <w:t>Blumes</w:t>
      </w:r>
      <w:proofErr w:type="spellEnd"/>
      <w:r>
        <w:t xml:space="preserve"> Bildungsserver für Chemie, </w:t>
      </w:r>
      <w:hyperlink r:id="rId10" w:history="1">
        <w:r w:rsidR="00431EAC" w:rsidRPr="00431EAC">
          <w:rPr>
            <w:rStyle w:val="Hyperlink"/>
            <w:color w:val="auto"/>
            <w:u w:val="none"/>
          </w:rPr>
          <w:t>http://www.chemieunterricht.de/dc2/grundsch/versuche/gs-v-018.htm</w:t>
        </w:r>
      </w:hyperlink>
      <w:r w:rsidR="00431EAC" w:rsidRPr="00431EAC">
        <w:rPr>
          <w:color w:val="auto"/>
        </w:rPr>
        <w:t>,</w:t>
      </w:r>
      <w:r w:rsidR="00431EAC">
        <w:rPr>
          <w:color w:val="auto"/>
        </w:rPr>
        <w:t xml:space="preserve"> </w:t>
      </w:r>
      <w:r>
        <w:rPr>
          <w:rFonts w:asciiTheme="majorHAnsi" w:hAnsiTheme="majorHAnsi"/>
        </w:rPr>
        <w:t>29.07.2010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Zuletzt abgerufen am 01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17:00 Uhr).</w:t>
      </w:r>
    </w:p>
    <w:p w:rsidR="00F74A95" w:rsidRPr="005620C2" w:rsidRDefault="00E50835" w:rsidP="005620C2">
      <w:pPr>
        <w:tabs>
          <w:tab w:val="left" w:pos="1701"/>
          <w:tab w:val="left" w:pos="1985"/>
        </w:tabs>
        <w:ind w:left="1980" w:hanging="1980"/>
      </w:pPr>
      <w:r>
        <w:pict>
          <v:shape id="_x0000_s1162" type="#_x0000_t202" style="width:452.9pt;height:278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2">
              <w:txbxContent>
                <w:p w:rsidR="000D63D8" w:rsidRPr="00754608" w:rsidRDefault="000D63D8" w:rsidP="001D4541">
                  <w:pPr>
                    <w:rPr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Ähnlich wie der Lehrerversuch kann dieser Schülerversuch je nach Vorwissen der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im Unterricht </w:t>
                  </w:r>
                  <w:r>
                    <w:rPr>
                      <w:color w:val="auto"/>
                    </w:rPr>
                    <w:t>als Problem- oder Bestätigungsexperiment eingesetzt werden</w:t>
                  </w:r>
                  <w:r w:rsidRPr="00F31EBF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 xml:space="preserve"> </w:t>
                  </w:r>
                  <w:r w:rsidR="00BA6579">
                    <w:rPr>
                      <w:color w:val="auto"/>
                    </w:rPr>
                    <w:t>Es kann dabei die zersetzende</w:t>
                  </w:r>
                  <w:r w:rsidR="00015FE6">
                    <w:rPr>
                      <w:color w:val="auto"/>
                    </w:rPr>
                    <w:t xml:space="preserve"> Wirkung von Säuren auf Metalle</w:t>
                  </w:r>
                  <w:r w:rsidR="00BA6579">
                    <w:rPr>
                      <w:color w:val="auto"/>
                    </w:rPr>
                    <w:t>, Textilien</w:t>
                  </w:r>
                  <w:r w:rsidR="00020F27">
                    <w:rPr>
                      <w:color w:val="auto"/>
                    </w:rPr>
                    <w:t xml:space="preserve"> (Leinen, Baumwolle)</w:t>
                  </w:r>
                  <w:r w:rsidR="00754608">
                    <w:rPr>
                      <w:color w:val="auto"/>
                    </w:rPr>
                    <w:t xml:space="preserve">, </w:t>
                  </w:r>
                  <w:r w:rsidR="001D4541">
                    <w:rPr>
                      <w:color w:val="auto"/>
                    </w:rPr>
                    <w:t xml:space="preserve">Kalkstein, </w:t>
                  </w:r>
                  <w:r w:rsidR="00754608">
                    <w:rPr>
                      <w:color w:val="auto"/>
                    </w:rPr>
                    <w:t>Haut</w:t>
                  </w:r>
                  <w:r w:rsidR="00BA6579">
                    <w:rPr>
                      <w:color w:val="auto"/>
                    </w:rPr>
                    <w:t xml:space="preserve"> etc. thematisiert</w:t>
                  </w:r>
                  <w:r w:rsidR="00754608">
                    <w:rPr>
                      <w:color w:val="auto"/>
                    </w:rPr>
                    <w:t xml:space="preserve"> sowie über </w:t>
                  </w:r>
                  <w:r w:rsidR="001D4541">
                    <w:rPr>
                      <w:color w:val="auto"/>
                    </w:rPr>
                    <w:t>den richtigen</w:t>
                  </w:r>
                  <w:r w:rsidR="00754608">
                    <w:rPr>
                      <w:color w:val="auto"/>
                    </w:rPr>
                    <w:t xml:space="preserve"> Umgang mit sauren Lösungen gesprochen werden</w:t>
                  </w:r>
                  <w:r w:rsidR="00CA009D">
                    <w:rPr>
                      <w:color w:val="auto"/>
                    </w:rPr>
                    <w:t xml:space="preserve"> (Schutzbrille/Laborkittel tragen, Säuredämpfe nicht einatmen, Haut- und Kleidungskontakt vermeiden, Säurespritzer auf Haut und Kleidung mit viel Wasser abwaschen)</w:t>
                  </w:r>
                  <w:r w:rsidR="00754608">
                    <w:rPr>
                      <w:color w:val="auto"/>
                    </w:rPr>
                    <w:t>.</w:t>
                  </w:r>
                  <w:r w:rsidR="00ED038E">
                    <w:rPr>
                      <w:color w:val="auto"/>
                    </w:rPr>
                    <w:t xml:space="preserve"> </w:t>
                  </w:r>
                </w:p>
                <w:p w:rsidR="000D63D8" w:rsidRDefault="00EA52DC" w:rsidP="0044246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Um an die Lebenswelt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anzuknüpfen, ist es sinnvoller, den Versuch mit Anspitzern</w:t>
                  </w:r>
                  <w:r w:rsidR="00C55B21">
                    <w:rPr>
                      <w:color w:val="auto"/>
                    </w:rPr>
                    <w:t>, die vorwiegend</w:t>
                  </w:r>
                  <w:r>
                    <w:rPr>
                      <w:color w:val="auto"/>
                    </w:rPr>
                    <w:t xml:space="preserve"> aus Magnesium </w:t>
                  </w:r>
                  <w:r w:rsidR="00C55B21">
                    <w:rPr>
                      <w:color w:val="auto"/>
                    </w:rPr>
                    <w:t xml:space="preserve">bestehen, </w:t>
                  </w:r>
                  <w:r>
                    <w:rPr>
                      <w:color w:val="auto"/>
                    </w:rPr>
                    <w:t>durchzuführen. Da nirgends gekennzeichnet ist, aus welche</w:t>
                  </w:r>
                  <w:r w:rsidR="00BF19C8">
                    <w:rPr>
                      <w:color w:val="auto"/>
                    </w:rPr>
                    <w:t>m</w:t>
                  </w:r>
                  <w:r>
                    <w:rPr>
                      <w:color w:val="auto"/>
                    </w:rPr>
                    <w:t xml:space="preserve"> Metall Anspitzer bestehen, sollten sie vor dem Unterricht von der Lehrperson auf ihr Material überprüft werden.</w:t>
                  </w:r>
                </w:p>
                <w:p w:rsidR="00D76517" w:rsidRPr="0001297F" w:rsidRDefault="00D76517" w:rsidP="008747F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kann alternativ mit anderen schwachen Haushaltssäuren wie z.B. einer </w:t>
                  </w:r>
                  <w:r w:rsidR="00E25B44">
                    <w:rPr>
                      <w:color w:val="auto"/>
                    </w:rPr>
                    <w:t xml:space="preserve">10%igen </w:t>
                  </w:r>
                  <w:r>
                    <w:rPr>
                      <w:color w:val="auto"/>
                    </w:rPr>
                    <w:t>Vitamin C-Lösung durchgeführt werden.</w:t>
                  </w:r>
                  <w:r w:rsidR="009E327D">
                    <w:rPr>
                      <w:color w:val="auto"/>
                    </w:rPr>
                    <w:t xml:space="preserve"> Hier sollte allerdings mit den </w:t>
                  </w:r>
                  <w:proofErr w:type="spellStart"/>
                  <w:r w:rsidR="009E327D">
                    <w:rPr>
                      <w:color w:val="auto"/>
                    </w:rPr>
                    <w:t>SuS</w:t>
                  </w:r>
                  <w:proofErr w:type="spellEnd"/>
                  <w:r w:rsidR="009E327D">
                    <w:rPr>
                      <w:color w:val="auto"/>
                    </w:rPr>
                    <w:t xml:space="preserve"> erarbeitet werden, warum die Vitamin C-Lösung nicht mehr getrunken werden darf. </w:t>
                  </w:r>
                </w:p>
              </w:txbxContent>
            </v:textbox>
            <w10:wrap type="none"/>
            <w10:anchorlock/>
          </v:shape>
        </w:pict>
      </w:r>
    </w:p>
    <w:sectPr w:rsidR="00F74A95" w:rsidRPr="005620C2" w:rsidSect="005B0270">
      <w:headerReference w:type="default" r:id="rId11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58" w:rsidRDefault="001C5958" w:rsidP="0086227B">
      <w:pPr>
        <w:spacing w:after="0" w:line="240" w:lineRule="auto"/>
      </w:pPr>
      <w:r>
        <w:separator/>
      </w:r>
    </w:p>
  </w:endnote>
  <w:endnote w:type="continuationSeparator" w:id="0">
    <w:p w:rsidR="001C5958" w:rsidRDefault="001C5958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58" w:rsidRDefault="001C5958" w:rsidP="0086227B">
      <w:pPr>
        <w:spacing w:after="0" w:line="240" w:lineRule="auto"/>
      </w:pPr>
      <w:r>
        <w:separator/>
      </w:r>
    </w:p>
  </w:footnote>
  <w:footnote w:type="continuationSeparator" w:id="0">
    <w:p w:rsidR="001C5958" w:rsidRDefault="001C5958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E50835" w:rsidP="00CF7E84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206C5D">
            <w:rPr>
              <w:noProof/>
            </w:rPr>
            <w:t>SV – Einwirkung von Haushaltssäuren auf Magnesiumband</w:t>
          </w:r>
        </w:fldSimple>
        <w:r w:rsidR="005620C2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5620C2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206C5D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E50835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6E5B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C3B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46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958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C5D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046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818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20C2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5D3A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232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1C5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CF7E84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0835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A6B2B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25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61F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emieunterricht.de/dc2/grundsch/versuche/gs-v-018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06B775E6-A76A-4215-B0B3-04A9002D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14</cp:revision>
  <cp:lastPrinted>2015-07-27T15:01:00Z</cp:lastPrinted>
  <dcterms:created xsi:type="dcterms:W3CDTF">2015-08-27T17:45:00Z</dcterms:created>
  <dcterms:modified xsi:type="dcterms:W3CDTF">2015-08-27T22:45:00Z</dcterms:modified>
</cp:coreProperties>
</file>