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D9" w:rsidRDefault="00AA21F9" w:rsidP="008A0FFF">
      <w:pPr>
        <w:pStyle w:val="berschrift1"/>
        <w:numPr>
          <w:ilvl w:val="0"/>
          <w:numId w:val="0"/>
        </w:numPr>
        <w:spacing w:before="0"/>
        <w:ind w:left="431" w:hanging="43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-.05pt;margin-top:38.65pt;width:454.2pt;height:110.55pt;z-index:251787264;mso-width-relative:margin;mso-height-relative:margin" fillcolor="white [3201]" strokecolor="#4bacc6 [3208]" strokeweight="1pt">
            <v:stroke dashstyle="dash"/>
            <v:shadow color="#868686"/>
            <v:textbox style="mso-next-textbox:#_x0000_s1159">
              <w:txbxContent>
                <w:p w:rsidR="00690D42" w:rsidRDefault="007E4C24" w:rsidP="007E4C2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dem Versuch wird der pH-Wert von Gartenerde und Regenwasser mithilfe von Indikato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papier ermittelt. Die Bodenprobe</w:t>
                  </w:r>
                  <w:r w:rsidR="00690D42">
                    <w:rPr>
                      <w:color w:val="auto"/>
                    </w:rPr>
                    <w:t xml:space="preserve"> und das Regenwasser können entweder von der Lehrpe</w:t>
                  </w:r>
                  <w:r w:rsidR="00690D42">
                    <w:rPr>
                      <w:color w:val="auto"/>
                    </w:rPr>
                    <w:t>r</w:t>
                  </w:r>
                  <w:r w:rsidR="00690D42">
                    <w:rPr>
                      <w:color w:val="auto"/>
                    </w:rPr>
                    <w:t xml:space="preserve">son besorgt oder von den </w:t>
                  </w:r>
                  <w:proofErr w:type="spellStart"/>
                  <w:r w:rsidR="00690D42">
                    <w:rPr>
                      <w:color w:val="auto"/>
                    </w:rPr>
                    <w:t>SuS</w:t>
                  </w:r>
                  <w:proofErr w:type="spellEnd"/>
                  <w:r w:rsidR="00690D42">
                    <w:rPr>
                      <w:color w:val="auto"/>
                    </w:rPr>
                    <w:t xml:space="preserve"> mitgebracht werden.</w:t>
                  </w:r>
                </w:p>
                <w:p w:rsidR="00690D42" w:rsidRPr="00FA3CFF" w:rsidRDefault="00690D42" w:rsidP="00D24BD9">
                  <w:pPr>
                    <w:rPr>
                      <w:color w:val="auto"/>
                    </w:rPr>
                  </w:pPr>
                  <w:r w:rsidRPr="00FA3CFF">
                    <w:rPr>
                      <w:color w:val="auto"/>
                    </w:rPr>
                    <w:t xml:space="preserve">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 der Umgang mit Indikatorpapier und die Bedeutung der einzelnen pH-Werte bekannt sein.</w:t>
                  </w:r>
                </w:p>
              </w:txbxContent>
            </v:textbox>
            <w10:wrap type="square"/>
          </v:shape>
        </w:pict>
      </w:r>
      <w:r w:rsidR="008A0FFF">
        <w:t>SV</w:t>
      </w:r>
      <w:r w:rsidR="00D05F91">
        <w:t xml:space="preserve"> – </w:t>
      </w:r>
      <w:r w:rsidR="005511E2">
        <w:t>Saurer Boden und saurer Regen</w:t>
      </w:r>
    </w:p>
    <w:p w:rsidR="00D24BD9" w:rsidRDefault="00D24BD9" w:rsidP="003B45C5">
      <w:pPr>
        <w:tabs>
          <w:tab w:val="left" w:pos="1701"/>
          <w:tab w:val="left" w:pos="1985"/>
        </w:tabs>
      </w:pPr>
    </w:p>
    <w:p w:rsidR="009C7AE2" w:rsidRDefault="009C7AE2" w:rsidP="004146B3">
      <w:pPr>
        <w:tabs>
          <w:tab w:val="left" w:pos="1701"/>
          <w:tab w:val="left" w:pos="1985"/>
        </w:tabs>
        <w:ind w:left="1980" w:hanging="1980"/>
      </w:pPr>
      <w:r>
        <w:t>Gefahrenstoffe:</w:t>
      </w:r>
      <w:r>
        <w:tab/>
      </w:r>
      <w:r>
        <w:tab/>
        <w:t>Es werden keine Gefahrenstoffe eingesetzt.</w:t>
      </w:r>
    </w:p>
    <w:p w:rsidR="00D24BD9" w:rsidRDefault="00D24BD9" w:rsidP="00C87F4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7A3D69">
        <w:t>5 Bechergläser</w:t>
      </w:r>
      <w:r w:rsidR="00C87F44">
        <w:t xml:space="preserve"> (50 mL)</w:t>
      </w:r>
      <w:r w:rsidR="007A3D69">
        <w:t xml:space="preserve">, </w:t>
      </w:r>
      <w:r w:rsidR="004146B3">
        <w:t xml:space="preserve">Spatel, Messzylinder, </w:t>
      </w:r>
      <w:r w:rsidR="00B6488B">
        <w:t xml:space="preserve">2 </w:t>
      </w:r>
      <w:r w:rsidR="007003B7">
        <w:t>Erlenmeyerkolben</w:t>
      </w:r>
      <w:r w:rsidR="00C87F44">
        <w:t xml:space="preserve"> (50 mL)</w:t>
      </w:r>
      <w:r w:rsidR="007003B7">
        <w:t xml:space="preserve">, </w:t>
      </w:r>
      <w:r>
        <w:t>2 kleine Trichter mit Papierfilter, Indikatorpapier.</w:t>
      </w:r>
    </w:p>
    <w:p w:rsidR="00D24BD9" w:rsidRPr="00ED07C2" w:rsidRDefault="00D24BD9" w:rsidP="004131F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Gartenerde</w:t>
      </w:r>
      <w:r w:rsidR="00087B18">
        <w:t xml:space="preserve">, </w:t>
      </w:r>
      <w:r>
        <w:t>Wasser</w:t>
      </w:r>
      <w:r w:rsidR="00087B18">
        <w:t>, Kaliumchlorid</w:t>
      </w:r>
      <w:r w:rsidR="004131F0">
        <w:t>,</w:t>
      </w:r>
      <w:r w:rsidR="004131F0" w:rsidRPr="004131F0">
        <w:t xml:space="preserve"> </w:t>
      </w:r>
      <w:r w:rsidR="004131F0">
        <w:t>Regenwasser</w:t>
      </w:r>
      <w:r>
        <w:t>.</w:t>
      </w:r>
    </w:p>
    <w:p w:rsidR="00D24BD9" w:rsidRDefault="00D24BD9" w:rsidP="00297F7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In zwei </w:t>
      </w:r>
      <w:r w:rsidR="00B6488B">
        <w:t>50</w:t>
      </w:r>
      <w:r w:rsidR="00087B18">
        <w:t> </w:t>
      </w:r>
      <w:r w:rsidR="00B6488B">
        <w:t>mL Becher</w:t>
      </w:r>
      <w:r>
        <w:t>gläser werden jeweils 2 cm</w:t>
      </w:r>
      <w:r w:rsidRPr="00936FD1">
        <w:rPr>
          <w:vertAlign w:val="superscript"/>
        </w:rPr>
        <w:t>3</w:t>
      </w:r>
      <w:r>
        <w:t xml:space="preserve"> Gartenerde gegeben</w:t>
      </w:r>
      <w:r w:rsidR="00087B18">
        <w:t>. Dem einen Becherglas werden</w:t>
      </w:r>
      <w:r>
        <w:t xml:space="preserve"> 5 mL Wasser</w:t>
      </w:r>
      <w:r w:rsidR="00087B18">
        <w:t>, dem anderen 5 mL Kaliu</w:t>
      </w:r>
      <w:r w:rsidR="00087B18">
        <w:t>m</w:t>
      </w:r>
      <w:r w:rsidR="00087B18">
        <w:t>chlorid-Lösung</w:t>
      </w:r>
      <w:r>
        <w:t xml:space="preserve"> </w:t>
      </w:r>
      <w:r w:rsidR="00F17E86">
        <w:t>(</w:t>
      </w:r>
      <w:r w:rsidR="00F17E86">
        <w:rPr>
          <w:bCs/>
          <w:color w:val="auto"/>
        </w:rPr>
        <w:t>1</w:t>
      </w:r>
      <w:r w:rsidR="009906F7">
        <w:rPr>
          <w:bCs/>
          <w:color w:val="auto"/>
        </w:rPr>
        <w:t> </w:t>
      </w:r>
      <w:r w:rsidR="004146B3">
        <w:rPr>
          <w:bCs/>
          <w:color w:val="auto"/>
        </w:rPr>
        <w:t>Spatel</w:t>
      </w:r>
      <w:r w:rsidR="00F17E86">
        <w:rPr>
          <w:bCs/>
          <w:color w:val="auto"/>
        </w:rPr>
        <w:t xml:space="preserve"> </w:t>
      </w:r>
      <w:proofErr w:type="spellStart"/>
      <w:r w:rsidR="00F17E86">
        <w:rPr>
          <w:bCs/>
          <w:color w:val="auto"/>
        </w:rPr>
        <w:t>KCl</w:t>
      </w:r>
      <w:proofErr w:type="spellEnd"/>
      <w:r w:rsidR="00F17E86">
        <w:rPr>
          <w:bCs/>
          <w:color w:val="auto"/>
        </w:rPr>
        <w:t xml:space="preserve"> auf 1</w:t>
      </w:r>
      <w:r w:rsidR="009906F7">
        <w:rPr>
          <w:bCs/>
          <w:color w:val="auto"/>
        </w:rPr>
        <w:t> </w:t>
      </w:r>
      <w:r w:rsidR="00F17E86">
        <w:rPr>
          <w:bCs/>
          <w:color w:val="auto"/>
        </w:rPr>
        <w:t>L Wasser</w:t>
      </w:r>
      <w:r w:rsidR="00F17E86">
        <w:t xml:space="preserve">) </w:t>
      </w:r>
      <w:r>
        <w:t xml:space="preserve">hinzugefügt. Anschließend werden </w:t>
      </w:r>
      <w:r w:rsidR="00EF412D">
        <w:t>beide Bechergläser</w:t>
      </w:r>
      <w:r>
        <w:t xml:space="preserve"> einige Minuten lang </w:t>
      </w:r>
      <w:r w:rsidR="00473827">
        <w:t xml:space="preserve">vorsichtig </w:t>
      </w:r>
      <w:r w:rsidR="00992F5F">
        <w:t>hin-</w:t>
      </w:r>
      <w:r w:rsidR="00DB540E">
        <w:t xml:space="preserve"> </w:t>
      </w:r>
      <w:r w:rsidR="00992F5F">
        <w:t xml:space="preserve">und </w:t>
      </w:r>
      <w:proofErr w:type="spellStart"/>
      <w:r w:rsidR="00992F5F">
        <w:t>hergeschwenkt</w:t>
      </w:r>
      <w:proofErr w:type="spellEnd"/>
      <w:r w:rsidR="00992F5F">
        <w:t xml:space="preserve"> </w:t>
      </w:r>
      <w:r>
        <w:t>(</w:t>
      </w:r>
      <w:r w:rsidRPr="00CD3849">
        <w:rPr>
          <w:b/>
          <w:bCs/>
        </w:rPr>
        <w:t>Achtung</w:t>
      </w:r>
      <w:r>
        <w:t xml:space="preserve">: Gasentwicklung!). Nachdem die </w:t>
      </w:r>
      <w:r w:rsidR="006A2513">
        <w:t>Erde</w:t>
      </w:r>
      <w:r>
        <w:t xml:space="preserve"> sich abg</w:t>
      </w:r>
      <w:r>
        <w:t>e</w:t>
      </w:r>
      <w:r>
        <w:t>setzt ha</w:t>
      </w:r>
      <w:r w:rsidR="006A2513">
        <w:t>t</w:t>
      </w:r>
      <w:r>
        <w:t xml:space="preserve">, werden die Proben in zwei leere </w:t>
      </w:r>
      <w:r w:rsidR="00EF412D">
        <w:t>50 mL Erlenmeyerkolben</w:t>
      </w:r>
      <w:r>
        <w:t xml:space="preserve"> fi</w:t>
      </w:r>
      <w:r>
        <w:t>l</w:t>
      </w:r>
      <w:r>
        <w:t>triert, die vorher zur Unterscheidung beschriftet worden sind</w:t>
      </w:r>
      <w:r w:rsidR="00297F73">
        <w:t xml:space="preserve"> (siehe Abb. 5)</w:t>
      </w:r>
      <w:r>
        <w:t xml:space="preserve">. Es wird der pH-Wert beider Filtrate mithilfe von Indikatorpapier gemessen. In ein weiteres </w:t>
      </w:r>
      <w:r w:rsidR="00DF1355">
        <w:t>50 mL Becher</w:t>
      </w:r>
      <w:r>
        <w:t>glas we</w:t>
      </w:r>
      <w:r w:rsidR="00DF1355">
        <w:t>rden</w:t>
      </w:r>
      <w:r>
        <w:t xml:space="preserve"> </w:t>
      </w:r>
      <w:r w:rsidR="00DF1355">
        <w:t>10</w:t>
      </w:r>
      <w:r>
        <w:t> mL Regenwasser gegeben und auch hier der pH</w:t>
      </w:r>
      <w:r w:rsidR="00DF1355">
        <w:noBreakHyphen/>
      </w:r>
      <w:r>
        <w:t>Wert mithilfe von Indikatorpapier bestimmt.</w:t>
      </w:r>
    </w:p>
    <w:p w:rsidR="008F6888" w:rsidRDefault="00A01806" w:rsidP="008F6888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41910</wp:posOffset>
            </wp:positionV>
            <wp:extent cx="1905000" cy="1638300"/>
            <wp:effectExtent l="19050" t="0" r="0" b="0"/>
            <wp:wrapTight wrapText="bothSides">
              <wp:wrapPolygon edited="0">
                <wp:start x="-216" y="0"/>
                <wp:lineTo x="-216" y="21349"/>
                <wp:lineTo x="21600" y="21349"/>
                <wp:lineTo x="21600" y="0"/>
                <wp:lineTo x="-216" y="0"/>
              </wp:wrapPolygon>
            </wp:wrapTight>
            <wp:docPr id="1" name="Bild 4" descr="F:\DCIM\100SSCAM\S6301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Grafik 8" descr="F:\DCIM\100SSCAM\S6301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888" w:rsidRDefault="008F6888" w:rsidP="00D24BD9">
      <w:pPr>
        <w:tabs>
          <w:tab w:val="left" w:pos="1701"/>
          <w:tab w:val="left" w:pos="1985"/>
        </w:tabs>
        <w:ind w:left="1980" w:hanging="1980"/>
      </w:pPr>
    </w:p>
    <w:p w:rsidR="008F6888" w:rsidRDefault="008F6888" w:rsidP="00D24BD9">
      <w:pPr>
        <w:tabs>
          <w:tab w:val="left" w:pos="1701"/>
          <w:tab w:val="left" w:pos="1985"/>
        </w:tabs>
        <w:ind w:left="1980" w:hanging="1980"/>
      </w:pPr>
    </w:p>
    <w:p w:rsidR="008F6888" w:rsidRDefault="008F6888" w:rsidP="00D24BD9">
      <w:pPr>
        <w:tabs>
          <w:tab w:val="left" w:pos="1701"/>
          <w:tab w:val="left" w:pos="1985"/>
        </w:tabs>
        <w:ind w:left="1980" w:hanging="1980"/>
      </w:pPr>
    </w:p>
    <w:p w:rsidR="008F6888" w:rsidRDefault="008F6888" w:rsidP="00A01806">
      <w:pPr>
        <w:tabs>
          <w:tab w:val="left" w:pos="1701"/>
          <w:tab w:val="left" w:pos="1985"/>
        </w:tabs>
      </w:pPr>
    </w:p>
    <w:p w:rsidR="008F6888" w:rsidRDefault="008F6888" w:rsidP="00AF2454">
      <w:pPr>
        <w:pStyle w:val="Beschriftung"/>
        <w:ind w:left="1985"/>
        <w:rPr>
          <w:noProof/>
        </w:rPr>
      </w:pPr>
      <w:r w:rsidRPr="00AF2454">
        <w:t xml:space="preserve">Abb. </w:t>
      </w:r>
      <w:r w:rsidR="00AF2454" w:rsidRPr="00AF2454">
        <w:t>5</w:t>
      </w:r>
      <w:r w:rsidRPr="00AF2454">
        <w:t xml:space="preserve"> </w:t>
      </w:r>
      <w:r w:rsidR="001D0BA2">
        <w:t xml:space="preserve">- </w:t>
      </w:r>
      <w:r w:rsidR="00AF2454" w:rsidRPr="00AF2454">
        <w:rPr>
          <w:noProof/>
        </w:rPr>
        <w:t>Filtrier</w:t>
      </w:r>
      <w:r w:rsidR="00BC6AAB">
        <w:rPr>
          <w:noProof/>
        </w:rPr>
        <w:t>ung</w:t>
      </w:r>
      <w:r w:rsidR="00AF2454" w:rsidRPr="00AF2454">
        <w:rPr>
          <w:noProof/>
        </w:rPr>
        <w:t xml:space="preserve"> der beiden Gartenerdeproben</w:t>
      </w:r>
      <w:r w:rsidRPr="00AF2454">
        <w:rPr>
          <w:noProof/>
        </w:rPr>
        <w:t>.</w:t>
      </w:r>
    </w:p>
    <w:p w:rsidR="00D24BD9" w:rsidRDefault="00D24BD9" w:rsidP="00D626DA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Gartenerde </w:t>
      </w:r>
      <w:r w:rsidR="009C72DE">
        <w:t>hat</w:t>
      </w:r>
      <w:r>
        <w:t xml:space="preserve"> einen pH-Wert von 6. Regenwasser hat einen pH-Wert von </w:t>
      </w:r>
      <w:r w:rsidR="00D626DA">
        <w:t>6-</w:t>
      </w:r>
      <w:r w:rsidR="00460821">
        <w:t>7</w:t>
      </w:r>
      <w:r w:rsidR="00767DFA">
        <w:t xml:space="preserve"> (siehe Abb. 6)</w:t>
      </w:r>
      <w:r>
        <w:t>.</w:t>
      </w:r>
    </w:p>
    <w:p w:rsidR="008A0FFF" w:rsidRDefault="008A0FFF" w:rsidP="00D626DA">
      <w:pPr>
        <w:tabs>
          <w:tab w:val="left" w:pos="1701"/>
          <w:tab w:val="left" w:pos="1985"/>
        </w:tabs>
        <w:ind w:left="1980" w:hanging="1980"/>
      </w:pPr>
    </w:p>
    <w:p w:rsidR="008C1797" w:rsidRDefault="00B765F9" w:rsidP="00B765F9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-4445</wp:posOffset>
            </wp:positionV>
            <wp:extent cx="4276725" cy="1562100"/>
            <wp:effectExtent l="19050" t="0" r="9525" b="0"/>
            <wp:wrapTight wrapText="bothSides">
              <wp:wrapPolygon edited="0">
                <wp:start x="-96" y="0"/>
                <wp:lineTo x="-96" y="21337"/>
                <wp:lineTo x="21648" y="21337"/>
                <wp:lineTo x="21648" y="0"/>
                <wp:lineTo x="-96" y="0"/>
              </wp:wrapPolygon>
            </wp:wrapTight>
            <wp:docPr id="7" name="Bild 7" descr="F:\DCIM\100SSCAM\S63015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Grafik 6" descr="F:\DCIM\100SSCAM\S6301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888">
        <w:tab/>
      </w:r>
      <w:r w:rsidR="008F6888">
        <w:tab/>
      </w:r>
    </w:p>
    <w:p w:rsidR="00B765F9" w:rsidRDefault="00B765F9" w:rsidP="00995D3E">
      <w:pPr>
        <w:pStyle w:val="Beschriftung"/>
        <w:ind w:left="1985"/>
        <w:jc w:val="left"/>
        <w:rPr>
          <w:highlight w:val="yellow"/>
        </w:rPr>
      </w:pPr>
    </w:p>
    <w:p w:rsidR="00B765F9" w:rsidRDefault="00B765F9" w:rsidP="00995D3E">
      <w:pPr>
        <w:pStyle w:val="Beschriftung"/>
        <w:ind w:left="1985"/>
        <w:jc w:val="left"/>
        <w:rPr>
          <w:highlight w:val="yellow"/>
        </w:rPr>
      </w:pPr>
    </w:p>
    <w:p w:rsidR="00B765F9" w:rsidRDefault="00B765F9" w:rsidP="00995D3E">
      <w:pPr>
        <w:pStyle w:val="Beschriftung"/>
        <w:ind w:left="1985"/>
        <w:jc w:val="left"/>
        <w:rPr>
          <w:highlight w:val="yellow"/>
        </w:rPr>
      </w:pPr>
    </w:p>
    <w:p w:rsidR="00B765F9" w:rsidRDefault="00B765F9" w:rsidP="00995D3E">
      <w:pPr>
        <w:pStyle w:val="Beschriftung"/>
        <w:ind w:left="1985"/>
        <w:jc w:val="left"/>
        <w:rPr>
          <w:highlight w:val="yellow"/>
        </w:rPr>
      </w:pPr>
    </w:p>
    <w:p w:rsidR="00B765F9" w:rsidRPr="00253CA5" w:rsidRDefault="00B765F9" w:rsidP="00995D3E">
      <w:pPr>
        <w:pStyle w:val="Beschriftung"/>
        <w:ind w:left="1985"/>
        <w:jc w:val="left"/>
      </w:pPr>
    </w:p>
    <w:p w:rsidR="008C1797" w:rsidRDefault="00995D3E" w:rsidP="00995A8F">
      <w:pPr>
        <w:pStyle w:val="Beschriftung"/>
        <w:ind w:left="1985"/>
      </w:pPr>
      <w:r w:rsidRPr="00253CA5">
        <w:t>Abb.</w:t>
      </w:r>
      <w:r w:rsidR="00D343A6" w:rsidRPr="00253CA5">
        <w:t> </w:t>
      </w:r>
      <w:r w:rsidR="001D0BA2" w:rsidRPr="00253CA5">
        <w:t>6</w:t>
      </w:r>
      <w:r w:rsidR="00D343A6" w:rsidRPr="00253CA5">
        <w:t> </w:t>
      </w:r>
      <w:r w:rsidR="001D0BA2" w:rsidRPr="00253CA5">
        <w:t>-</w:t>
      </w:r>
      <w:r w:rsidR="00E86B7A">
        <w:t xml:space="preserve"> </w:t>
      </w:r>
      <w:proofErr w:type="spellStart"/>
      <w:r w:rsidR="001D0BA2" w:rsidRPr="00253CA5">
        <w:t>Gartenerdefiltrate</w:t>
      </w:r>
      <w:proofErr w:type="spellEnd"/>
      <w:r w:rsidR="001D0BA2" w:rsidRPr="00253CA5">
        <w:t xml:space="preserve"> (</w:t>
      </w:r>
      <w:proofErr w:type="spellStart"/>
      <w:r w:rsidR="001D0BA2" w:rsidRPr="00253CA5">
        <w:t>Lsgm</w:t>
      </w:r>
      <w:proofErr w:type="spellEnd"/>
      <w:r w:rsidR="001D0BA2" w:rsidRPr="00253CA5">
        <w:t xml:space="preserve">.: Wasser, links; </w:t>
      </w:r>
      <w:proofErr w:type="spellStart"/>
      <w:r w:rsidR="001D0BA2" w:rsidRPr="00253CA5">
        <w:t>Lsgm</w:t>
      </w:r>
      <w:proofErr w:type="spellEnd"/>
      <w:r w:rsidR="001D0BA2" w:rsidRPr="00253CA5">
        <w:t>.: Kaliumchloridlösung: mittig</w:t>
      </w:r>
      <w:r w:rsidR="00995A8F" w:rsidRPr="00253CA5">
        <w:t xml:space="preserve">) und </w:t>
      </w:r>
      <w:r w:rsidR="001D0BA2" w:rsidRPr="00253CA5">
        <w:t>Regenwasser (rechts)</w:t>
      </w:r>
      <w:r w:rsidR="00995A8F" w:rsidRPr="00253CA5">
        <w:t xml:space="preserve"> mit zuvor eingetauchten Indikatorpapierstückchen</w:t>
      </w:r>
      <w:r w:rsidR="001D0BA2" w:rsidRPr="00253CA5">
        <w:t>.</w:t>
      </w:r>
      <w:r w:rsidR="001D0BA2">
        <w:t xml:space="preserve"> </w:t>
      </w:r>
    </w:p>
    <w:p w:rsidR="00D24BD9" w:rsidRDefault="00D24BD9" w:rsidP="005050BA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  <w:t xml:space="preserve">Gartenerde </w:t>
      </w:r>
      <w:r w:rsidR="005050BA">
        <w:t xml:space="preserve">in wässriger Lösung sowie in einer Kaliumchloridlösung sind schwach sauer. </w:t>
      </w:r>
      <w:r>
        <w:t>Regenwasser</w:t>
      </w:r>
      <w:r w:rsidR="005050BA">
        <w:t xml:space="preserve"> ist auch schwach sauer</w:t>
      </w:r>
      <w:r>
        <w:t>.</w:t>
      </w:r>
      <w:r w:rsidR="00BA3425">
        <w:t xml:space="preserve"> </w:t>
      </w:r>
    </w:p>
    <w:p w:rsidR="00D24BD9" w:rsidRDefault="00D24BD9" w:rsidP="00D24BD9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proofErr w:type="spellStart"/>
      <w:r w:rsidR="001547EA">
        <w:t>Abfiltrierte</w:t>
      </w:r>
      <w:proofErr w:type="spellEnd"/>
      <w:r w:rsidR="001547EA">
        <w:t xml:space="preserve"> Gartenerde: </w:t>
      </w:r>
      <w:r>
        <w:t>Feststoff-Abfall</w:t>
      </w:r>
      <w:r w:rsidR="009E558A">
        <w:t xml:space="preserve">, </w:t>
      </w:r>
      <w:r w:rsidR="00CB7D2F">
        <w:t>Filtrate und Regenwasser: Abwa</w:t>
      </w:r>
      <w:r w:rsidR="00CB7D2F">
        <w:t>s</w:t>
      </w:r>
      <w:r w:rsidR="00CB7D2F">
        <w:t>ser</w:t>
      </w:r>
      <w:r>
        <w:t>.</w:t>
      </w:r>
    </w:p>
    <w:p w:rsidR="005701B3" w:rsidRPr="005701B3" w:rsidRDefault="00D24BD9" w:rsidP="005701B3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>Literatur: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H. Schmidkunz, W. </w:t>
      </w:r>
      <w:proofErr w:type="spellStart"/>
      <w:r>
        <w:rPr>
          <w:rFonts w:eastAsiaTheme="minorEastAsia"/>
        </w:rPr>
        <w:t>Rentzsch</w:t>
      </w:r>
      <w:proofErr w:type="spellEnd"/>
      <w:r>
        <w:rPr>
          <w:rFonts w:eastAsiaTheme="minorEastAsia"/>
        </w:rPr>
        <w:t xml:space="preserve">, Chemische Freihandversuche Bd. 1, </w:t>
      </w:r>
      <w:proofErr w:type="spellStart"/>
      <w:r>
        <w:rPr>
          <w:rFonts w:eastAsiaTheme="minorEastAsia"/>
        </w:rPr>
        <w:t>Aulis</w:t>
      </w:r>
      <w:proofErr w:type="spellEnd"/>
      <w:r>
        <w:rPr>
          <w:rFonts w:eastAsiaTheme="minorEastAsia"/>
        </w:rPr>
        <w:t xml:space="preserve"> Ve</w:t>
      </w:r>
      <w:r>
        <w:rPr>
          <w:rFonts w:eastAsiaTheme="minorEastAsia"/>
        </w:rPr>
        <w:t>r</w:t>
      </w:r>
      <w:r>
        <w:rPr>
          <w:rFonts w:eastAsiaTheme="minorEastAsia"/>
        </w:rPr>
        <w:t xml:space="preserve">lag </w:t>
      </w:r>
      <w:proofErr w:type="spellStart"/>
      <w:r>
        <w:rPr>
          <w:rFonts w:eastAsiaTheme="minorEastAsia"/>
        </w:rPr>
        <w:t>Deubner</w:t>
      </w:r>
      <w:proofErr w:type="spellEnd"/>
      <w:r>
        <w:rPr>
          <w:rFonts w:eastAsiaTheme="minorEastAsia"/>
        </w:rPr>
        <w:t>, 2011, S. 253.</w:t>
      </w:r>
    </w:p>
    <w:p w:rsidR="00D24BD9" w:rsidRPr="006E32AF" w:rsidRDefault="00AA21F9" w:rsidP="00D24BD9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AA21F9">
        <w:pict>
          <v:shape id="_x0000_s1160" type="#_x0000_t202" style="width:452.9pt;height:201.7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60">
              <w:txbxContent>
                <w:p w:rsidR="00690D42" w:rsidRDefault="00690D42" w:rsidP="00D24BD9">
                  <w:pPr>
                    <w:rPr>
                      <w:bCs/>
                      <w:color w:val="auto"/>
                    </w:rPr>
                  </w:pPr>
                  <w:r w:rsidRPr="00850223">
                    <w:rPr>
                      <w:bCs/>
                      <w:color w:val="auto"/>
                    </w:rPr>
                    <w:t>Der Versu</w:t>
                  </w:r>
                  <w:r>
                    <w:rPr>
                      <w:bCs/>
                      <w:color w:val="auto"/>
                    </w:rPr>
                    <w:t xml:space="preserve">ch ist gut dazu geeignet, zu thematisieren, dass ein hoher Abgasgehalt in der Luft dazu beiträgt, dass der Regen und Boden sauer sind. </w:t>
                  </w:r>
                </w:p>
                <w:p w:rsidR="00690D42" w:rsidRPr="00850223" w:rsidRDefault="006F20DD" w:rsidP="006F20DD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M</w:t>
                  </w:r>
                  <w:r w:rsidR="00690D42" w:rsidRPr="00850223">
                    <w:rPr>
                      <w:bCs/>
                      <w:color w:val="auto"/>
                    </w:rPr>
                    <w:t>it Kaliumchlorid</w:t>
                  </w:r>
                  <w:r w:rsidR="00690D42">
                    <w:rPr>
                      <w:bCs/>
                      <w:color w:val="auto"/>
                    </w:rPr>
                    <w:t xml:space="preserve">lösung (1 Teelöffel </w:t>
                  </w:r>
                  <w:proofErr w:type="spellStart"/>
                  <w:r w:rsidR="00690D42">
                    <w:rPr>
                      <w:bCs/>
                      <w:color w:val="auto"/>
                    </w:rPr>
                    <w:t>KCl</w:t>
                  </w:r>
                  <w:proofErr w:type="spellEnd"/>
                  <w:r w:rsidR="00690D42">
                    <w:rPr>
                      <w:bCs/>
                      <w:color w:val="auto"/>
                    </w:rPr>
                    <w:t xml:space="preserve"> auf 1L Wasser)</w:t>
                  </w:r>
                  <w:r w:rsidR="00690D42" w:rsidRPr="00850223">
                    <w:rPr>
                      <w:bCs/>
                      <w:color w:val="auto"/>
                    </w:rPr>
                    <w:t xml:space="preserve"> als Lösungsmittel </w:t>
                  </w:r>
                  <w:r>
                    <w:rPr>
                      <w:bCs/>
                      <w:color w:val="auto"/>
                    </w:rPr>
                    <w:t>kann f</w:t>
                  </w:r>
                  <w:r w:rsidR="00690D42">
                    <w:rPr>
                      <w:bCs/>
                      <w:color w:val="auto"/>
                    </w:rPr>
                    <w:t>ür die Pr</w:t>
                  </w:r>
                  <w:r w:rsidR="00690D42">
                    <w:rPr>
                      <w:bCs/>
                      <w:color w:val="auto"/>
                    </w:rPr>
                    <w:t>o</w:t>
                  </w:r>
                  <w:r w:rsidR="00854DCB">
                    <w:rPr>
                      <w:bCs/>
                      <w:color w:val="auto"/>
                    </w:rPr>
                    <w:t>be</w:t>
                  </w:r>
                  <w:r w:rsidR="00690D42">
                    <w:rPr>
                      <w:bCs/>
                      <w:color w:val="auto"/>
                    </w:rPr>
                    <w:t xml:space="preserve"> ein höherer Säuregrad erhalten werden, da hier die an </w:t>
                  </w:r>
                  <w:proofErr w:type="spellStart"/>
                  <w:r w:rsidR="00690D42">
                    <w:rPr>
                      <w:bCs/>
                      <w:color w:val="auto"/>
                    </w:rPr>
                    <w:t>Huminsäuren</w:t>
                  </w:r>
                  <w:proofErr w:type="spellEnd"/>
                  <w:r w:rsidR="00690D42">
                    <w:rPr>
                      <w:bCs/>
                      <w:color w:val="auto"/>
                    </w:rPr>
                    <w:t xml:space="preserve"> gebundenen bzw. in </w:t>
                  </w:r>
                  <w:proofErr w:type="spellStart"/>
                  <w:r w:rsidR="00690D42">
                    <w:rPr>
                      <w:bCs/>
                      <w:color w:val="auto"/>
                    </w:rPr>
                    <w:t>Silicatgerüsten</w:t>
                  </w:r>
                  <w:proofErr w:type="spellEnd"/>
                  <w:r w:rsidR="00690D42">
                    <w:rPr>
                      <w:bCs/>
                      <w:color w:val="auto"/>
                    </w:rPr>
                    <w:t xml:space="preserve"> des Bodens adsorbierten Wasserstoff-Ionen zusätzlich zu den in Wasser leicht löslichen Wasserstoff-Ionen gelöst werden. Dadurch ist es möglich, anstelle des aktue</w:t>
                  </w:r>
                  <w:r w:rsidR="00690D42">
                    <w:rPr>
                      <w:bCs/>
                      <w:color w:val="auto"/>
                    </w:rPr>
                    <w:t>l</w:t>
                  </w:r>
                  <w:r w:rsidR="00690D42">
                    <w:rPr>
                      <w:bCs/>
                      <w:color w:val="auto"/>
                    </w:rPr>
                    <w:t xml:space="preserve">len den sog. potentiellen pH-Wert der Proben zu bestimmen. </w:t>
                  </w:r>
                </w:p>
                <w:p w:rsidR="00690D42" w:rsidRPr="007A7D82" w:rsidRDefault="00690D42" w:rsidP="00C108FD">
                  <w:pPr>
                    <w:rPr>
                      <w:color w:val="auto"/>
                    </w:rPr>
                  </w:pPr>
                  <w:r w:rsidRPr="008E70DE">
                    <w:rPr>
                      <w:b/>
                      <w:bCs/>
                      <w:color w:val="auto"/>
                    </w:rPr>
                    <w:t>Tipp:</w:t>
                  </w:r>
                  <w:r>
                    <w:rPr>
                      <w:color w:val="auto"/>
                    </w:rPr>
                    <w:t xml:space="preserve"> Mit  </w:t>
                  </w:r>
                  <w:r w:rsidRPr="007A7D82">
                    <w:rPr>
                      <w:color w:val="auto"/>
                    </w:rPr>
                    <w:t>Indikatorpapier, das halbe pH-Werte anzeigt</w:t>
                  </w:r>
                  <w:r>
                    <w:rPr>
                      <w:color w:val="auto"/>
                    </w:rPr>
                    <w:t>, können genaue</w:t>
                  </w:r>
                  <w:r w:rsidR="00C108FD">
                    <w:rPr>
                      <w:color w:val="auto"/>
                    </w:rPr>
                    <w:t>re</w:t>
                  </w:r>
                  <w:r>
                    <w:rPr>
                      <w:color w:val="auto"/>
                    </w:rPr>
                    <w:t xml:space="preserve"> pH-Werte ermi</w:t>
                  </w:r>
                  <w:r>
                    <w:rPr>
                      <w:color w:val="auto"/>
                    </w:rPr>
                    <w:t>t</w:t>
                  </w:r>
                  <w:r>
                    <w:rPr>
                      <w:color w:val="auto"/>
                    </w:rPr>
                    <w:t>telt werden</w:t>
                  </w:r>
                  <w:r w:rsidRPr="007A7D82">
                    <w:rPr>
                      <w:color w:val="auto"/>
                    </w:rPr>
                    <w:t>.</w:t>
                  </w:r>
                </w:p>
                <w:p w:rsidR="00690D42" w:rsidRPr="000D10FB" w:rsidRDefault="00690D42" w:rsidP="00D24BD9">
                  <w:pPr>
                    <w:rPr>
                      <w:color w:val="1F497D" w:themeColor="text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24BD9" w:rsidRDefault="00D24BD9" w:rsidP="00D24BD9">
      <w:pPr>
        <w:pStyle w:val="berschrift2"/>
        <w:numPr>
          <w:ilvl w:val="0"/>
          <w:numId w:val="0"/>
        </w:numPr>
        <w:ind w:left="576" w:hanging="576"/>
      </w:pPr>
    </w:p>
    <w:p w:rsidR="00D24BD9" w:rsidRPr="00D24BD9" w:rsidRDefault="00D24BD9" w:rsidP="00D24BD9"/>
    <w:p w:rsidR="00D05F91" w:rsidRPr="00D05F91" w:rsidRDefault="00D05F91" w:rsidP="00D05F91"/>
    <w:p w:rsidR="00F74A95" w:rsidRPr="00984EF9" w:rsidRDefault="00F74A95" w:rsidP="00984EF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sectPr w:rsidR="00F74A95" w:rsidRPr="00984EF9" w:rsidSect="005B0270">
      <w:headerReference w:type="default" r:id="rId10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2C" w:rsidRDefault="00DD532C" w:rsidP="0086227B">
      <w:pPr>
        <w:spacing w:after="0" w:line="240" w:lineRule="auto"/>
      </w:pPr>
      <w:r>
        <w:separator/>
      </w:r>
    </w:p>
  </w:endnote>
  <w:endnote w:type="continuationSeparator" w:id="0">
    <w:p w:rsidR="00DD532C" w:rsidRDefault="00DD532C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2C" w:rsidRDefault="00DD532C" w:rsidP="0086227B">
      <w:pPr>
        <w:spacing w:after="0" w:line="240" w:lineRule="auto"/>
      </w:pPr>
      <w:r>
        <w:separator/>
      </w:r>
    </w:p>
  </w:footnote>
  <w:footnote w:type="continuationSeparator" w:id="0">
    <w:p w:rsidR="00DD532C" w:rsidRDefault="00DD532C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690D42" w:rsidRPr="0080101C" w:rsidRDefault="00AA21F9" w:rsidP="008A0FFF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="008E70DE">
            <w:rPr>
              <w:noProof/>
            </w:rPr>
            <w:t>SV – Saurer Boden und saurer Regen</w:t>
          </w:r>
        </w:fldSimple>
        <w:r w:rsidR="008A0FFF">
          <w:tab/>
        </w:r>
        <w:r w:rsidR="008A0FFF">
          <w:tab/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="008A0FFF"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8E70DE">
          <w:rPr>
            <w:rFonts w:asciiTheme="majorHAnsi" w:hAnsiTheme="majorHAnsi"/>
            <w:noProof/>
            <w:sz w:val="20"/>
            <w:szCs w:val="20"/>
          </w:rPr>
          <w:t>2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  <w:r w:rsidR="008A0FFF"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690D42" w:rsidRPr="0080101C" w:rsidRDefault="00AA21F9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4334"/>
    <w:rsid w:val="000465E6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69FD"/>
    <w:rsid w:val="000972FF"/>
    <w:rsid w:val="0009736D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5A1D"/>
    <w:rsid w:val="00117118"/>
    <w:rsid w:val="0012481E"/>
    <w:rsid w:val="00125CEA"/>
    <w:rsid w:val="00126F97"/>
    <w:rsid w:val="0012753E"/>
    <w:rsid w:val="00134644"/>
    <w:rsid w:val="00134944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62A36"/>
    <w:rsid w:val="003655AA"/>
    <w:rsid w:val="003731AC"/>
    <w:rsid w:val="0037651E"/>
    <w:rsid w:val="00377662"/>
    <w:rsid w:val="00381C71"/>
    <w:rsid w:val="0038284A"/>
    <w:rsid w:val="003837C2"/>
    <w:rsid w:val="00384682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42463"/>
    <w:rsid w:val="00442EB1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7813"/>
    <w:rsid w:val="0050117F"/>
    <w:rsid w:val="00503C6A"/>
    <w:rsid w:val="005050BA"/>
    <w:rsid w:val="0050605E"/>
    <w:rsid w:val="005115B1"/>
    <w:rsid w:val="00511B2E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EE"/>
    <w:rsid w:val="005B60E3"/>
    <w:rsid w:val="005C0A4E"/>
    <w:rsid w:val="005C1465"/>
    <w:rsid w:val="005D1568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940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EE0"/>
    <w:rsid w:val="00891076"/>
    <w:rsid w:val="00896D5A"/>
    <w:rsid w:val="008A08CD"/>
    <w:rsid w:val="008A0FFF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6575"/>
    <w:rsid w:val="008D67B2"/>
    <w:rsid w:val="008D7316"/>
    <w:rsid w:val="008E12F8"/>
    <w:rsid w:val="008E1A25"/>
    <w:rsid w:val="008E345D"/>
    <w:rsid w:val="008E70DE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21F9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B02829"/>
    <w:rsid w:val="00B02DB9"/>
    <w:rsid w:val="00B16FF2"/>
    <w:rsid w:val="00B20211"/>
    <w:rsid w:val="00B21F20"/>
    <w:rsid w:val="00B224C8"/>
    <w:rsid w:val="00B2311F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7EAB"/>
    <w:rsid w:val="00B7477F"/>
    <w:rsid w:val="00B757FD"/>
    <w:rsid w:val="00B75E8C"/>
    <w:rsid w:val="00B765F9"/>
    <w:rsid w:val="00B76F57"/>
    <w:rsid w:val="00B77CE9"/>
    <w:rsid w:val="00B810A2"/>
    <w:rsid w:val="00B85479"/>
    <w:rsid w:val="00B901F6"/>
    <w:rsid w:val="00B91DA4"/>
    <w:rsid w:val="00B93BBF"/>
    <w:rsid w:val="00B96C3C"/>
    <w:rsid w:val="00BA0E9B"/>
    <w:rsid w:val="00BA3425"/>
    <w:rsid w:val="00BA3A88"/>
    <w:rsid w:val="00BA6579"/>
    <w:rsid w:val="00BA7414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569E"/>
    <w:rsid w:val="00C108FD"/>
    <w:rsid w:val="00C10E22"/>
    <w:rsid w:val="00C12650"/>
    <w:rsid w:val="00C13828"/>
    <w:rsid w:val="00C14750"/>
    <w:rsid w:val="00C17A28"/>
    <w:rsid w:val="00C23319"/>
    <w:rsid w:val="00C23322"/>
    <w:rsid w:val="00C31483"/>
    <w:rsid w:val="00C32094"/>
    <w:rsid w:val="00C364B2"/>
    <w:rsid w:val="00C41A3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3EDB"/>
    <w:rsid w:val="00CB65D9"/>
    <w:rsid w:val="00CB7D2F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45A8"/>
    <w:rsid w:val="00D05F91"/>
    <w:rsid w:val="00D06793"/>
    <w:rsid w:val="00D069A2"/>
    <w:rsid w:val="00D109F7"/>
    <w:rsid w:val="00D1194E"/>
    <w:rsid w:val="00D16B2B"/>
    <w:rsid w:val="00D17019"/>
    <w:rsid w:val="00D17C43"/>
    <w:rsid w:val="00D24BD9"/>
    <w:rsid w:val="00D30767"/>
    <w:rsid w:val="00D343A6"/>
    <w:rsid w:val="00D355BD"/>
    <w:rsid w:val="00D36E88"/>
    <w:rsid w:val="00D407E8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0173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A6545"/>
    <w:rsid w:val="00DB4507"/>
    <w:rsid w:val="00DB540E"/>
    <w:rsid w:val="00DC0309"/>
    <w:rsid w:val="00DC4B51"/>
    <w:rsid w:val="00DD532C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7C24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2BCC"/>
    <w:rsid w:val="00FC6287"/>
    <w:rsid w:val="00FD644E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915BFFD6-284E-4493-AC25-D34F4477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5</cp:revision>
  <cp:lastPrinted>2015-07-27T15:01:00Z</cp:lastPrinted>
  <dcterms:created xsi:type="dcterms:W3CDTF">2015-08-27T17:53:00Z</dcterms:created>
  <dcterms:modified xsi:type="dcterms:W3CDTF">2015-08-27T22:47:00Z</dcterms:modified>
</cp:coreProperties>
</file>