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4D3" w:rsidRDefault="001234D3" w:rsidP="001234D3">
      <w:pPr>
        <w:pStyle w:val="berschrift2"/>
      </w:pPr>
      <w:r>
        <w:t>V4 – Rotkraut oder Blaukraut?</w:t>
      </w:r>
      <w:bookmarkStart w:id="0" w:name="_GoBack"/>
      <w:bookmarkEnd w:id="0"/>
    </w:p>
    <w:p w:rsidR="001234D3" w:rsidRPr="00AC321B" w:rsidRDefault="001234D3" w:rsidP="001234D3"/>
    <w:tbl>
      <w:tblPr>
        <w:tblStyle w:val="Listentabelle3Akzent1"/>
        <w:tblW w:w="9315" w:type="dxa"/>
        <w:tblLayout w:type="fixed"/>
        <w:tblLook w:val="04A0" w:firstRow="1" w:lastRow="0" w:firstColumn="1" w:lastColumn="0" w:noHBand="0" w:noVBand="1"/>
      </w:tblPr>
      <w:tblGrid>
        <w:gridCol w:w="1009"/>
        <w:gridCol w:w="1009"/>
        <w:gridCol w:w="1008"/>
        <w:gridCol w:w="1008"/>
        <w:gridCol w:w="1174"/>
        <w:gridCol w:w="992"/>
        <w:gridCol w:w="974"/>
        <w:gridCol w:w="1008"/>
        <w:gridCol w:w="1133"/>
      </w:tblGrid>
      <w:tr w:rsidR="001234D3" w:rsidTr="008533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gridSpan w:val="9"/>
            <w:hideMark/>
          </w:tcPr>
          <w:p w:rsidR="001234D3" w:rsidRDefault="001234D3" w:rsidP="008533FE">
            <w:pPr>
              <w:spacing w:after="0"/>
              <w:jc w:val="center"/>
              <w:rPr>
                <w:b w:val="0"/>
                <w:bCs w:val="0"/>
                <w:color w:val="FFFFFF" w:themeColor="background1"/>
              </w:rPr>
            </w:pPr>
            <w:r>
              <w:rPr>
                <w:color w:val="FFFFFF" w:themeColor="background1"/>
              </w:rPr>
              <w:t>Gefahrenstoffe</w:t>
            </w:r>
          </w:p>
        </w:tc>
      </w:tr>
      <w:tr w:rsidR="001234D3" w:rsidTr="008533FE">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027" w:type="dxa"/>
            <w:gridSpan w:val="3"/>
            <w:hideMark/>
          </w:tcPr>
          <w:p w:rsidR="001234D3" w:rsidRPr="004D658A" w:rsidRDefault="001234D3" w:rsidP="008533FE">
            <w:pPr>
              <w:spacing w:after="0"/>
              <w:jc w:val="center"/>
              <w:rPr>
                <w:b w:val="0"/>
                <w:bCs w:val="0"/>
              </w:rPr>
            </w:pPr>
            <w:r w:rsidRPr="004D658A">
              <w:rPr>
                <w:b w:val="0"/>
              </w:rPr>
              <w:t>Rotkrautsaft</w:t>
            </w:r>
          </w:p>
        </w:tc>
        <w:tc>
          <w:tcPr>
            <w:tcW w:w="3177" w:type="dxa"/>
            <w:gridSpan w:val="3"/>
            <w:hideMark/>
          </w:tcPr>
          <w:p w:rsidR="001234D3" w:rsidRPr="004D658A" w:rsidRDefault="001234D3" w:rsidP="008533FE">
            <w:pPr>
              <w:spacing w:after="0"/>
              <w:jc w:val="center"/>
              <w:cnfStyle w:val="000000100000" w:firstRow="0" w:lastRow="0" w:firstColumn="0" w:lastColumn="0" w:oddVBand="0" w:evenVBand="0" w:oddHBand="1" w:evenHBand="0" w:firstRowFirstColumn="0" w:firstRowLastColumn="0" w:lastRowFirstColumn="0" w:lastRowLastColumn="0"/>
            </w:pPr>
            <w:r w:rsidRPr="004D658A">
              <w:t>H: -</w:t>
            </w:r>
          </w:p>
        </w:tc>
        <w:tc>
          <w:tcPr>
            <w:tcW w:w="3118" w:type="dxa"/>
            <w:gridSpan w:val="3"/>
            <w:hideMark/>
          </w:tcPr>
          <w:p w:rsidR="001234D3" w:rsidRPr="004D658A" w:rsidRDefault="001234D3" w:rsidP="008533FE">
            <w:pPr>
              <w:spacing w:after="0"/>
              <w:jc w:val="center"/>
              <w:cnfStyle w:val="000000100000" w:firstRow="0" w:lastRow="0" w:firstColumn="0" w:lastColumn="0" w:oddVBand="0" w:evenVBand="0" w:oddHBand="1" w:evenHBand="0" w:firstRowFirstColumn="0" w:firstRowLastColumn="0" w:lastRowFirstColumn="0" w:lastRowLastColumn="0"/>
            </w:pPr>
            <w:r w:rsidRPr="004D658A">
              <w:t>P: -</w:t>
            </w:r>
          </w:p>
        </w:tc>
      </w:tr>
      <w:tr w:rsidR="001234D3" w:rsidTr="008533FE">
        <w:trPr>
          <w:trHeight w:val="434"/>
        </w:trPr>
        <w:tc>
          <w:tcPr>
            <w:cnfStyle w:val="001000000000" w:firstRow="0" w:lastRow="0" w:firstColumn="1" w:lastColumn="0" w:oddVBand="0" w:evenVBand="0" w:oddHBand="0" w:evenHBand="0" w:firstRowFirstColumn="0" w:firstRowLastColumn="0" w:lastRowFirstColumn="0" w:lastRowLastColumn="0"/>
            <w:tcW w:w="3027" w:type="dxa"/>
            <w:gridSpan w:val="3"/>
            <w:hideMark/>
          </w:tcPr>
          <w:p w:rsidR="001234D3" w:rsidRPr="004D658A" w:rsidRDefault="001234D3" w:rsidP="008533FE">
            <w:pPr>
              <w:spacing w:after="0"/>
              <w:jc w:val="center"/>
              <w:rPr>
                <w:b w:val="0"/>
                <w:bCs w:val="0"/>
              </w:rPr>
            </w:pPr>
            <w:r w:rsidRPr="004D658A">
              <w:rPr>
                <w:b w:val="0"/>
              </w:rPr>
              <w:t>Zitronensaft</w:t>
            </w:r>
          </w:p>
        </w:tc>
        <w:tc>
          <w:tcPr>
            <w:tcW w:w="3177" w:type="dxa"/>
            <w:gridSpan w:val="3"/>
            <w:hideMark/>
          </w:tcPr>
          <w:p w:rsidR="001234D3" w:rsidRPr="004D658A" w:rsidRDefault="001234D3" w:rsidP="008533FE">
            <w:pPr>
              <w:pStyle w:val="Beschriftung"/>
              <w:spacing w:after="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D658A">
              <w:rPr>
                <w:sz w:val="22"/>
                <w:szCs w:val="22"/>
              </w:rPr>
              <w:t>H: -</w:t>
            </w:r>
          </w:p>
        </w:tc>
        <w:tc>
          <w:tcPr>
            <w:tcW w:w="3118" w:type="dxa"/>
            <w:gridSpan w:val="3"/>
            <w:hideMark/>
          </w:tcPr>
          <w:p w:rsidR="001234D3" w:rsidRPr="004D658A" w:rsidRDefault="001234D3" w:rsidP="008533FE">
            <w:pPr>
              <w:pStyle w:val="Beschriftung"/>
              <w:spacing w:after="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D658A">
              <w:rPr>
                <w:sz w:val="22"/>
                <w:szCs w:val="22"/>
              </w:rPr>
              <w:t>P: -</w:t>
            </w:r>
          </w:p>
        </w:tc>
      </w:tr>
      <w:tr w:rsidR="001234D3" w:rsidTr="008533FE">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rsidR="001234D3" w:rsidRPr="004D658A" w:rsidRDefault="001234D3" w:rsidP="008533FE">
            <w:pPr>
              <w:spacing w:after="0"/>
              <w:jc w:val="center"/>
              <w:rPr>
                <w:b w:val="0"/>
              </w:rPr>
            </w:pPr>
            <w:r w:rsidRPr="004D658A">
              <w:rPr>
                <w:b w:val="0"/>
              </w:rPr>
              <w:t>Essig-Essenz (25% Säure)</w:t>
            </w:r>
          </w:p>
        </w:tc>
        <w:tc>
          <w:tcPr>
            <w:tcW w:w="3177" w:type="dxa"/>
            <w:gridSpan w:val="3"/>
          </w:tcPr>
          <w:p w:rsidR="001234D3" w:rsidRPr="004D658A" w:rsidRDefault="001234D3" w:rsidP="008533FE">
            <w:pPr>
              <w:pStyle w:val="Beschriftung"/>
              <w:spacing w:after="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D658A">
              <w:rPr>
                <w:sz w:val="22"/>
                <w:szCs w:val="22"/>
              </w:rPr>
              <w:t>H: -</w:t>
            </w:r>
          </w:p>
        </w:tc>
        <w:tc>
          <w:tcPr>
            <w:tcW w:w="3118" w:type="dxa"/>
            <w:gridSpan w:val="3"/>
          </w:tcPr>
          <w:p w:rsidR="001234D3" w:rsidRPr="004D658A" w:rsidRDefault="001234D3" w:rsidP="008533FE">
            <w:pPr>
              <w:pStyle w:val="Beschriftung"/>
              <w:spacing w:after="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D658A">
              <w:rPr>
                <w:sz w:val="22"/>
                <w:szCs w:val="22"/>
              </w:rPr>
              <w:t>P: -</w:t>
            </w:r>
          </w:p>
        </w:tc>
      </w:tr>
      <w:tr w:rsidR="001234D3" w:rsidTr="008533FE">
        <w:trPr>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rsidR="001234D3" w:rsidRPr="004D658A" w:rsidRDefault="001234D3" w:rsidP="008533FE">
            <w:pPr>
              <w:spacing w:after="0"/>
              <w:jc w:val="center"/>
              <w:rPr>
                <w:b w:val="0"/>
              </w:rPr>
            </w:pPr>
            <w:r w:rsidRPr="004D658A">
              <w:rPr>
                <w:b w:val="0"/>
              </w:rPr>
              <w:t>Natron (Natriumhydrogencarbonat)</w:t>
            </w:r>
          </w:p>
          <w:p w:rsidR="001234D3" w:rsidRPr="004D658A" w:rsidRDefault="001234D3" w:rsidP="008533FE">
            <w:pPr>
              <w:spacing w:after="0"/>
              <w:jc w:val="center"/>
              <w:rPr>
                <w:b w:val="0"/>
              </w:rPr>
            </w:pPr>
            <w:r w:rsidRPr="004D658A">
              <w:rPr>
                <w:b w:val="0"/>
              </w:rPr>
              <w:t>Seife</w:t>
            </w:r>
          </w:p>
        </w:tc>
        <w:tc>
          <w:tcPr>
            <w:tcW w:w="3177" w:type="dxa"/>
            <w:gridSpan w:val="3"/>
          </w:tcPr>
          <w:p w:rsidR="001234D3" w:rsidRPr="004D658A" w:rsidRDefault="001234D3" w:rsidP="008533FE">
            <w:pPr>
              <w:pStyle w:val="Beschriftung"/>
              <w:spacing w:after="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D658A">
              <w:rPr>
                <w:sz w:val="22"/>
                <w:szCs w:val="22"/>
              </w:rPr>
              <w:t>H: -</w:t>
            </w:r>
          </w:p>
        </w:tc>
        <w:tc>
          <w:tcPr>
            <w:tcW w:w="3118" w:type="dxa"/>
            <w:gridSpan w:val="3"/>
          </w:tcPr>
          <w:p w:rsidR="001234D3" w:rsidRPr="004D658A" w:rsidRDefault="001234D3" w:rsidP="008533FE">
            <w:pPr>
              <w:pStyle w:val="Beschriftung"/>
              <w:spacing w:after="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D658A">
              <w:rPr>
                <w:sz w:val="22"/>
                <w:szCs w:val="22"/>
              </w:rPr>
              <w:t>P: -</w:t>
            </w:r>
          </w:p>
        </w:tc>
      </w:tr>
      <w:tr w:rsidR="001234D3" w:rsidTr="008533FE">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rsidR="001234D3" w:rsidRPr="004D658A" w:rsidRDefault="001234D3" w:rsidP="008533FE">
            <w:pPr>
              <w:spacing w:after="0"/>
              <w:jc w:val="center"/>
              <w:rPr>
                <w:b w:val="0"/>
              </w:rPr>
            </w:pPr>
            <w:r w:rsidRPr="004D658A">
              <w:rPr>
                <w:b w:val="0"/>
              </w:rPr>
              <w:t>Natriumhydroxid</w:t>
            </w:r>
          </w:p>
        </w:tc>
        <w:tc>
          <w:tcPr>
            <w:tcW w:w="3177" w:type="dxa"/>
            <w:gridSpan w:val="3"/>
          </w:tcPr>
          <w:p w:rsidR="001234D3" w:rsidRPr="004D658A" w:rsidRDefault="001234D3" w:rsidP="008533FE">
            <w:pPr>
              <w:pStyle w:val="Beschriftung"/>
              <w:spacing w:after="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D658A">
              <w:rPr>
                <w:sz w:val="22"/>
                <w:szCs w:val="22"/>
              </w:rPr>
              <w:t>H: 314, 290</w:t>
            </w:r>
          </w:p>
        </w:tc>
        <w:tc>
          <w:tcPr>
            <w:tcW w:w="3118" w:type="dxa"/>
            <w:gridSpan w:val="3"/>
          </w:tcPr>
          <w:p w:rsidR="001234D3" w:rsidRPr="004D658A" w:rsidRDefault="001234D3" w:rsidP="008533FE">
            <w:pPr>
              <w:pStyle w:val="Beschriftung"/>
              <w:spacing w:after="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D658A">
              <w:rPr>
                <w:sz w:val="22"/>
                <w:szCs w:val="22"/>
              </w:rPr>
              <w:t>P: 280, 301+330+331, 305+351+338, 308+310</w:t>
            </w:r>
          </w:p>
        </w:tc>
      </w:tr>
      <w:tr w:rsidR="001234D3" w:rsidTr="008533FE">
        <w:tc>
          <w:tcPr>
            <w:cnfStyle w:val="001000000000" w:firstRow="0" w:lastRow="0" w:firstColumn="1" w:lastColumn="0" w:oddVBand="0" w:evenVBand="0" w:oddHBand="0" w:evenHBand="0" w:firstRowFirstColumn="0" w:firstRowLastColumn="0" w:lastRowFirstColumn="0" w:lastRowLastColumn="0"/>
            <w:tcW w:w="1009" w:type="dxa"/>
            <w:hideMark/>
          </w:tcPr>
          <w:p w:rsidR="001234D3" w:rsidRPr="004D658A" w:rsidRDefault="001234D3" w:rsidP="008533FE">
            <w:pPr>
              <w:spacing w:after="0"/>
              <w:jc w:val="center"/>
              <w:rPr>
                <w:b w:val="0"/>
                <w:bCs w:val="0"/>
              </w:rPr>
            </w:pPr>
            <w:r w:rsidRPr="004D658A">
              <w:rPr>
                <w:b w:val="0"/>
                <w:noProof/>
                <w:lang w:eastAsia="de-DE"/>
              </w:rPr>
              <w:drawing>
                <wp:inline distT="0" distB="0" distL="0" distR="0" wp14:anchorId="31E8D2D9" wp14:editId="4BED9663">
                  <wp:extent cx="509270" cy="509270"/>
                  <wp:effectExtent l="0" t="0" r="5080" b="508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hideMark/>
          </w:tcPr>
          <w:p w:rsidR="001234D3" w:rsidRPr="004D658A" w:rsidRDefault="001234D3" w:rsidP="008533FE">
            <w:pPr>
              <w:spacing w:after="0"/>
              <w:jc w:val="center"/>
              <w:cnfStyle w:val="000000000000" w:firstRow="0" w:lastRow="0" w:firstColumn="0" w:lastColumn="0" w:oddVBand="0" w:evenVBand="0" w:oddHBand="0" w:evenHBand="0" w:firstRowFirstColumn="0" w:firstRowLastColumn="0" w:lastRowFirstColumn="0" w:lastRowLastColumn="0"/>
            </w:pPr>
            <w:r w:rsidRPr="004D658A">
              <w:rPr>
                <w:noProof/>
                <w:lang w:eastAsia="de-DE"/>
              </w:rPr>
              <w:drawing>
                <wp:inline distT="0" distB="0" distL="0" distR="0" wp14:anchorId="74AF3FB5" wp14:editId="022C0A9A">
                  <wp:extent cx="509270" cy="509270"/>
                  <wp:effectExtent l="0" t="0" r="5080" b="508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hideMark/>
          </w:tcPr>
          <w:p w:rsidR="001234D3" w:rsidRPr="004D658A" w:rsidRDefault="001234D3" w:rsidP="008533FE">
            <w:pPr>
              <w:spacing w:after="0"/>
              <w:jc w:val="center"/>
              <w:cnfStyle w:val="000000000000" w:firstRow="0" w:lastRow="0" w:firstColumn="0" w:lastColumn="0" w:oddVBand="0" w:evenVBand="0" w:oddHBand="0" w:evenHBand="0" w:firstRowFirstColumn="0" w:firstRowLastColumn="0" w:lastRowFirstColumn="0" w:lastRowLastColumn="0"/>
            </w:pPr>
            <w:r w:rsidRPr="004D658A">
              <w:rPr>
                <w:noProof/>
                <w:lang w:eastAsia="de-DE"/>
              </w:rPr>
              <w:drawing>
                <wp:inline distT="0" distB="0" distL="0" distR="0" wp14:anchorId="6E9F758F" wp14:editId="766DD0F4">
                  <wp:extent cx="509270" cy="509270"/>
                  <wp:effectExtent l="0" t="0" r="5080" b="508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hideMark/>
          </w:tcPr>
          <w:p w:rsidR="001234D3" w:rsidRPr="004D658A" w:rsidRDefault="001234D3" w:rsidP="008533FE">
            <w:pPr>
              <w:spacing w:after="0"/>
              <w:jc w:val="center"/>
              <w:cnfStyle w:val="000000000000" w:firstRow="0" w:lastRow="0" w:firstColumn="0" w:lastColumn="0" w:oddVBand="0" w:evenVBand="0" w:oddHBand="0" w:evenHBand="0" w:firstRowFirstColumn="0" w:firstRowLastColumn="0" w:lastRowFirstColumn="0" w:lastRowLastColumn="0"/>
            </w:pPr>
            <w:r w:rsidRPr="004D658A">
              <w:rPr>
                <w:noProof/>
                <w:lang w:eastAsia="de-DE"/>
              </w:rPr>
              <w:drawing>
                <wp:inline distT="0" distB="0" distL="0" distR="0" wp14:anchorId="6DF62809" wp14:editId="176AC3CE">
                  <wp:extent cx="509270" cy="509270"/>
                  <wp:effectExtent l="0" t="0" r="5080" b="508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a:noFill/>
                          </a:ln>
                        </pic:spPr>
                      </pic:pic>
                    </a:graphicData>
                  </a:graphic>
                </wp:inline>
              </w:drawing>
            </w:r>
          </w:p>
        </w:tc>
        <w:tc>
          <w:tcPr>
            <w:tcW w:w="1175" w:type="dxa"/>
            <w:hideMark/>
          </w:tcPr>
          <w:p w:rsidR="001234D3" w:rsidRPr="004D658A" w:rsidRDefault="001234D3" w:rsidP="008533FE">
            <w:pPr>
              <w:spacing w:after="0"/>
              <w:jc w:val="center"/>
              <w:cnfStyle w:val="000000000000" w:firstRow="0" w:lastRow="0" w:firstColumn="0" w:lastColumn="0" w:oddVBand="0" w:evenVBand="0" w:oddHBand="0" w:evenHBand="0" w:firstRowFirstColumn="0" w:firstRowLastColumn="0" w:lastRowFirstColumn="0" w:lastRowLastColumn="0"/>
            </w:pPr>
            <w:r w:rsidRPr="004D658A">
              <w:rPr>
                <w:noProof/>
                <w:lang w:eastAsia="de-DE"/>
              </w:rPr>
              <w:drawing>
                <wp:inline distT="0" distB="0" distL="0" distR="0" wp14:anchorId="75E663EA" wp14:editId="2293FD0C">
                  <wp:extent cx="509270" cy="509270"/>
                  <wp:effectExtent l="0" t="0" r="5080" b="508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a:noFill/>
                          </a:ln>
                        </pic:spPr>
                      </pic:pic>
                    </a:graphicData>
                  </a:graphic>
                </wp:inline>
              </w:drawing>
            </w:r>
          </w:p>
        </w:tc>
        <w:tc>
          <w:tcPr>
            <w:tcW w:w="993" w:type="dxa"/>
            <w:hideMark/>
          </w:tcPr>
          <w:p w:rsidR="001234D3" w:rsidRPr="004D658A" w:rsidRDefault="001234D3" w:rsidP="008533FE">
            <w:pPr>
              <w:spacing w:after="0"/>
              <w:jc w:val="center"/>
              <w:cnfStyle w:val="000000000000" w:firstRow="0" w:lastRow="0" w:firstColumn="0" w:lastColumn="0" w:oddVBand="0" w:evenVBand="0" w:oddHBand="0" w:evenHBand="0" w:firstRowFirstColumn="0" w:firstRowLastColumn="0" w:lastRowFirstColumn="0" w:lastRowLastColumn="0"/>
            </w:pPr>
            <w:r w:rsidRPr="004D658A">
              <w:rPr>
                <w:noProof/>
                <w:lang w:eastAsia="de-DE"/>
              </w:rPr>
              <w:drawing>
                <wp:inline distT="0" distB="0" distL="0" distR="0" wp14:anchorId="225F84B6" wp14:editId="4572FB4E">
                  <wp:extent cx="509270" cy="509270"/>
                  <wp:effectExtent l="0" t="0" r="5080" b="508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a:noFill/>
                          </a:ln>
                        </pic:spPr>
                      </pic:pic>
                    </a:graphicData>
                  </a:graphic>
                </wp:inline>
              </w:drawing>
            </w:r>
          </w:p>
        </w:tc>
        <w:tc>
          <w:tcPr>
            <w:tcW w:w="975" w:type="dxa"/>
            <w:hideMark/>
          </w:tcPr>
          <w:p w:rsidR="001234D3" w:rsidRPr="004D658A" w:rsidRDefault="001234D3" w:rsidP="008533FE">
            <w:pPr>
              <w:spacing w:after="0"/>
              <w:jc w:val="center"/>
              <w:cnfStyle w:val="000000000000" w:firstRow="0" w:lastRow="0" w:firstColumn="0" w:lastColumn="0" w:oddVBand="0" w:evenVBand="0" w:oddHBand="0" w:evenHBand="0" w:firstRowFirstColumn="0" w:firstRowLastColumn="0" w:lastRowFirstColumn="0" w:lastRowLastColumn="0"/>
            </w:pPr>
            <w:r w:rsidRPr="004D658A">
              <w:rPr>
                <w:noProof/>
                <w:lang w:eastAsia="de-DE"/>
              </w:rPr>
              <w:drawing>
                <wp:inline distT="0" distB="0" distL="0" distR="0" wp14:anchorId="671FBA39" wp14:editId="47380335">
                  <wp:extent cx="509270" cy="509270"/>
                  <wp:effectExtent l="0" t="0" r="5080" b="508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hideMark/>
          </w:tcPr>
          <w:p w:rsidR="001234D3" w:rsidRPr="004D658A" w:rsidRDefault="001234D3" w:rsidP="008533FE">
            <w:pPr>
              <w:spacing w:after="0"/>
              <w:jc w:val="center"/>
              <w:cnfStyle w:val="000000000000" w:firstRow="0" w:lastRow="0" w:firstColumn="0" w:lastColumn="0" w:oddVBand="0" w:evenVBand="0" w:oddHBand="0" w:evenHBand="0" w:firstRowFirstColumn="0" w:firstRowLastColumn="0" w:lastRowFirstColumn="0" w:lastRowLastColumn="0"/>
            </w:pPr>
            <w:r w:rsidRPr="004D658A">
              <w:rPr>
                <w:noProof/>
                <w:lang w:eastAsia="de-DE"/>
              </w:rPr>
              <w:drawing>
                <wp:inline distT="0" distB="0" distL="0" distR="0" wp14:anchorId="4ADFF4AD" wp14:editId="0CBA6452">
                  <wp:extent cx="570015" cy="570015"/>
                  <wp:effectExtent l="0" t="0" r="1905" b="1905"/>
                  <wp:docPr id="34" name="Grafik 34" descr="C:\Users\Annika\Desktop\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Grau\Reizend.pn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70004" cy="570004"/>
                          </a:xfrm>
                          <a:prstGeom prst="rect">
                            <a:avLst/>
                          </a:prstGeom>
                          <a:noFill/>
                          <a:ln>
                            <a:noFill/>
                          </a:ln>
                        </pic:spPr>
                      </pic:pic>
                    </a:graphicData>
                  </a:graphic>
                </wp:inline>
              </w:drawing>
            </w:r>
          </w:p>
        </w:tc>
        <w:tc>
          <w:tcPr>
            <w:tcW w:w="1134" w:type="dxa"/>
            <w:hideMark/>
          </w:tcPr>
          <w:p w:rsidR="001234D3" w:rsidRPr="004D658A" w:rsidRDefault="001234D3" w:rsidP="008533FE">
            <w:pPr>
              <w:spacing w:after="0"/>
              <w:jc w:val="center"/>
              <w:cnfStyle w:val="000000000000" w:firstRow="0" w:lastRow="0" w:firstColumn="0" w:lastColumn="0" w:oddVBand="0" w:evenVBand="0" w:oddHBand="0" w:evenHBand="0" w:firstRowFirstColumn="0" w:firstRowLastColumn="0" w:lastRowFirstColumn="0" w:lastRowLastColumn="0"/>
            </w:pPr>
            <w:r w:rsidRPr="004D658A">
              <w:rPr>
                <w:noProof/>
                <w:lang w:eastAsia="de-DE"/>
              </w:rPr>
              <w:drawing>
                <wp:inline distT="0" distB="0" distL="0" distR="0" wp14:anchorId="65A75E9A" wp14:editId="60E5185A">
                  <wp:extent cx="509270" cy="509270"/>
                  <wp:effectExtent l="0" t="0" r="5080" b="508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a:noFill/>
                          </a:ln>
                        </pic:spPr>
                      </pic:pic>
                    </a:graphicData>
                  </a:graphic>
                </wp:inline>
              </w:drawing>
            </w:r>
          </w:p>
        </w:tc>
      </w:tr>
    </w:tbl>
    <w:p w:rsidR="001234D3" w:rsidRDefault="001234D3" w:rsidP="001234D3"/>
    <w:p w:rsidR="001234D3" w:rsidRDefault="001234D3" w:rsidP="001234D3">
      <w:pPr>
        <w:tabs>
          <w:tab w:val="left" w:pos="1701"/>
          <w:tab w:val="left" w:pos="1985"/>
        </w:tabs>
        <w:ind w:left="1980" w:hanging="1980"/>
      </w:pPr>
      <w:r>
        <w:t xml:space="preserve">Materialien: </w:t>
      </w:r>
      <w:r>
        <w:tab/>
      </w:r>
      <w:r>
        <w:tab/>
        <w:t xml:space="preserve">Becherglas (400 </w:t>
      </w:r>
      <w:proofErr w:type="spellStart"/>
      <w:r>
        <w:t>mL</w:t>
      </w:r>
      <w:proofErr w:type="spellEnd"/>
      <w:r>
        <w:t xml:space="preserve">), Becherglas (250 </w:t>
      </w:r>
      <w:proofErr w:type="spellStart"/>
      <w:r>
        <w:t>mL</w:t>
      </w:r>
      <w:proofErr w:type="spellEnd"/>
      <w:r>
        <w:t xml:space="preserve">), Trichter, Filterpapier, Tropfpipette, Spatel, 5 Reagenzgläser, Reagenzglas-Ständer </w:t>
      </w:r>
      <w:r>
        <w:tab/>
      </w:r>
      <w:r>
        <w:tab/>
      </w:r>
    </w:p>
    <w:p w:rsidR="001234D3" w:rsidRDefault="001234D3" w:rsidP="001234D3">
      <w:pPr>
        <w:tabs>
          <w:tab w:val="left" w:pos="1701"/>
          <w:tab w:val="left" w:pos="1985"/>
        </w:tabs>
        <w:ind w:left="1695" w:hanging="1695"/>
      </w:pPr>
      <w:r>
        <w:t>Chemikalien:</w:t>
      </w:r>
      <w:r>
        <w:tab/>
      </w:r>
      <w:r>
        <w:tab/>
      </w:r>
      <w:r>
        <w:tab/>
        <w:t>Rotkohlsaft, Zitronensaft, Haushaltsessig, Natron, Seife</w:t>
      </w:r>
    </w:p>
    <w:p w:rsidR="001234D3" w:rsidRDefault="001234D3" w:rsidP="001234D3">
      <w:pPr>
        <w:tabs>
          <w:tab w:val="left" w:pos="1701"/>
          <w:tab w:val="left" w:pos="1985"/>
        </w:tabs>
        <w:ind w:left="1980" w:hanging="1980"/>
      </w:pPr>
      <w:r>
        <w:t xml:space="preserve">Durchführung: </w:t>
      </w:r>
      <w:r>
        <w:tab/>
      </w:r>
      <w:r>
        <w:tab/>
        <w:t>In fünf Reagenzgläser wird jeweils zu einem Viertel Rotkohlsaft gefüllt. Gib zu der ersten Probe tropfenweise Haushaltsessig, bis sich die Farbe nicht mehr ändert. Versetze die zweite Probe mit Zitronensaft. Gib in die dritte Probe eine Spatelspitze Natron und schüttle. Wiederhole die Natronzugabe, bis sich die Farbe nicht mehr ändert. Gib in die vierte Probe nach und nach kleine Stückchen Kernseife und schüttle jeweils. Gib in die fünfte Probe mit dem Spatel vorsichtig drei Natriumhydroxid-Plätzchen. Das Natriumhydroxid darf dabei nicht mit den Fingern berührt werden.</w:t>
      </w:r>
    </w:p>
    <w:p w:rsidR="001234D3" w:rsidRDefault="001234D3" w:rsidP="001234D3">
      <w:pPr>
        <w:keepNext/>
        <w:tabs>
          <w:tab w:val="left" w:pos="1701"/>
          <w:tab w:val="left" w:pos="1985"/>
        </w:tabs>
        <w:ind w:left="1980" w:hanging="1980"/>
      </w:pPr>
      <w:r>
        <w:rPr>
          <w:noProof/>
          <w:lang w:eastAsia="de-DE"/>
        </w:rPr>
        <w:lastRenderedPageBreak/>
        <w:drawing>
          <wp:inline distT="0" distB="0" distL="0" distR="0" wp14:anchorId="4FE42FCD" wp14:editId="000AB606">
            <wp:extent cx="5760720" cy="3840480"/>
            <wp:effectExtent l="0" t="0" r="0" b="762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049.JPG"/>
                    <pic:cNvPicPr/>
                  </pic:nvPicPr>
                  <pic:blipFill>
                    <a:blip r:embed="rId15" cstate="print">
                      <a:extLst>
                        <a:ext uri="{28A0092B-C50C-407E-A947-70E740481C1C}">
                          <a14:useLocalDpi xmlns:a14="http://schemas.microsoft.com/office/drawing/2010/main"/>
                        </a:ext>
                      </a:extLst>
                    </a:blip>
                    <a:stretch>
                      <a:fillRect/>
                    </a:stretch>
                  </pic:blipFill>
                  <pic:spPr>
                    <a:xfrm>
                      <a:off x="0" y="0"/>
                      <a:ext cx="5760720" cy="3840480"/>
                    </a:xfrm>
                    <a:prstGeom prst="rect">
                      <a:avLst/>
                    </a:prstGeom>
                  </pic:spPr>
                </pic:pic>
              </a:graphicData>
            </a:graphic>
          </wp:inline>
        </w:drawing>
      </w:r>
    </w:p>
    <w:p w:rsidR="001234D3" w:rsidRDefault="001234D3" w:rsidP="001234D3">
      <w:pPr>
        <w:pStyle w:val="Beschriftung"/>
      </w:pPr>
      <w:r>
        <w:t xml:space="preserve">Abbildung </w:t>
      </w:r>
      <w:r>
        <w:fldChar w:fldCharType="begin"/>
      </w:r>
      <w:r>
        <w:instrText xml:space="preserve"> SEQ Abbildung \* ARABIC </w:instrText>
      </w:r>
      <w:r>
        <w:fldChar w:fldCharType="separate"/>
      </w:r>
      <w:r>
        <w:rPr>
          <w:noProof/>
        </w:rPr>
        <w:t>6</w:t>
      </w:r>
      <w:r>
        <w:rPr>
          <w:noProof/>
        </w:rPr>
        <w:fldChar w:fldCharType="end"/>
      </w:r>
      <w:r>
        <w:t xml:space="preserve"> Rotkohlsaft - Farborgel</w:t>
      </w:r>
    </w:p>
    <w:p w:rsidR="001234D3" w:rsidRDefault="001234D3" w:rsidP="001234D3">
      <w:pPr>
        <w:tabs>
          <w:tab w:val="left" w:pos="1701"/>
          <w:tab w:val="left" w:pos="1985"/>
        </w:tabs>
        <w:ind w:left="1980" w:hanging="1980"/>
      </w:pPr>
      <w:r>
        <w:t>Beobachtung:</w:t>
      </w:r>
      <w:r>
        <w:tab/>
      </w:r>
      <w:r>
        <w:tab/>
        <w:t xml:space="preserve">Der Zitronensaft und die Essigessenz färben sich nach Zugabe zum Rotkohlsaft rot. Nach Zugabe von Seife färbt sich der Rotkohlsaft blau und nach Zugabe von Natron dunkelgrün. Nach Zugabe von einem </w:t>
      </w:r>
      <w:proofErr w:type="spellStart"/>
      <w:r>
        <w:t>Natriumhydroxidplätzchen</w:t>
      </w:r>
      <w:proofErr w:type="spellEnd"/>
      <w:r>
        <w:t xml:space="preserve"> färbt sich der Rotkohlsaft nach einigen Minuten orange-gelb.</w:t>
      </w:r>
    </w:p>
    <w:p w:rsidR="001234D3" w:rsidRPr="00C74046" w:rsidRDefault="001234D3" w:rsidP="001234D3">
      <w:pPr>
        <w:tabs>
          <w:tab w:val="left" w:pos="1701"/>
          <w:tab w:val="left" w:pos="1985"/>
        </w:tabs>
        <w:ind w:left="1980" w:hanging="1980"/>
        <w:rPr>
          <w:color w:val="000000"/>
        </w:rPr>
      </w:pPr>
      <w:r>
        <w:t>Deutung:</w:t>
      </w:r>
      <w:r>
        <w:tab/>
      </w:r>
      <w:r>
        <w:tab/>
      </w:r>
      <w:r>
        <w:rPr>
          <w:color w:val="000000"/>
        </w:rPr>
        <w:t>Bei Zitronensaft und Essig handelt es sich um Säuren. Seife, Natron und Natriumhydroxid bilden mit dem Rotkohlsaft eine alkalische Lösung und färben diesen je nach Stärke von grün bis gelb. Mit Hilfe des Rotkohlsaftes kann nun beurteilt werden ob die Lösung saure, neutrale oder alkalische Eigenschaften hat. (Der Rotkohlsaft ist also ein Indikator.)</w:t>
      </w:r>
    </w:p>
    <w:p w:rsidR="001234D3" w:rsidRDefault="001234D3" w:rsidP="001234D3">
      <w:pPr>
        <w:tabs>
          <w:tab w:val="left" w:pos="1701"/>
          <w:tab w:val="left" w:pos="1985"/>
        </w:tabs>
        <w:ind w:left="1980" w:hanging="1980"/>
      </w:pPr>
      <w:r>
        <w:t xml:space="preserve">Entsorgung: </w:t>
      </w:r>
      <w:r>
        <w:tab/>
      </w:r>
      <w:r>
        <w:tab/>
        <w:t>Lösungen in den Säure-Base-Behälter geben.</w:t>
      </w:r>
    </w:p>
    <w:p w:rsidR="001234D3" w:rsidRDefault="001234D3" w:rsidP="001234D3">
      <w:pPr>
        <w:tabs>
          <w:tab w:val="left" w:pos="1701"/>
          <w:tab w:val="left" w:pos="1985"/>
        </w:tabs>
        <w:ind w:left="1980" w:hanging="1980"/>
      </w:pPr>
      <w:r>
        <w:t>Literatur:</w:t>
      </w:r>
      <w:r>
        <w:tab/>
      </w:r>
      <w:r>
        <w:tab/>
      </w:r>
      <w:proofErr w:type="spellStart"/>
      <w:r>
        <w:t>Asselborn</w:t>
      </w:r>
      <w:proofErr w:type="spellEnd"/>
      <w:r>
        <w:t>, W., Jäckel, M., Risch, T. K. (</w:t>
      </w:r>
      <w:proofErr w:type="spellStart"/>
      <w:r>
        <w:t>Hsrg</w:t>
      </w:r>
      <w:proofErr w:type="spellEnd"/>
      <w:r>
        <w:t>), Chemie heute – SI Gesamtband, Schroedel, 2001, S.14f.</w:t>
      </w:r>
    </w:p>
    <w:p w:rsidR="001234D3" w:rsidRDefault="001234D3" w:rsidP="001234D3">
      <w:pPr>
        <w:spacing w:line="276" w:lineRule="auto"/>
        <w:jc w:val="left"/>
      </w:pPr>
    </w:p>
    <w:p w:rsidR="00035BCE" w:rsidRDefault="00035BCE"/>
    <w:sectPr w:rsidR="00035BCE" w:rsidSect="005B0270">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290" w:rsidRDefault="00E31290" w:rsidP="001234D3">
      <w:pPr>
        <w:spacing w:after="0" w:line="240" w:lineRule="auto"/>
      </w:pPr>
      <w:r>
        <w:separator/>
      </w:r>
    </w:p>
  </w:endnote>
  <w:endnote w:type="continuationSeparator" w:id="0">
    <w:p w:rsidR="00E31290" w:rsidRDefault="00E31290" w:rsidP="0012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290" w:rsidRDefault="00E31290" w:rsidP="001234D3">
      <w:pPr>
        <w:spacing w:after="0" w:line="240" w:lineRule="auto"/>
      </w:pPr>
      <w:r>
        <w:separator/>
      </w:r>
    </w:p>
  </w:footnote>
  <w:footnote w:type="continuationSeparator" w:id="0">
    <w:p w:rsidR="00E31290" w:rsidRDefault="00E31290" w:rsidP="001234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D3"/>
    <w:rsid w:val="00035BCE"/>
    <w:rsid w:val="001234D3"/>
    <w:rsid w:val="00E312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6114E-9285-404D-A04B-F5848341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34D3"/>
    <w:pPr>
      <w:spacing w:after="200" w:line="360" w:lineRule="auto"/>
      <w:jc w:val="both"/>
    </w:pPr>
    <w:rPr>
      <w:rFonts w:ascii="Cambria" w:hAnsi="Cambria"/>
      <w:color w:val="171717" w:themeColor="background2" w:themeShade="1A"/>
    </w:rPr>
  </w:style>
  <w:style w:type="paragraph" w:styleId="berschrift2">
    <w:name w:val="heading 2"/>
    <w:basedOn w:val="Standard"/>
    <w:next w:val="Standard"/>
    <w:link w:val="berschrift2Zchn"/>
    <w:uiPriority w:val="9"/>
    <w:unhideWhenUsed/>
    <w:qFormat/>
    <w:rsid w:val="001234D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234D3"/>
    <w:rPr>
      <w:rFonts w:asciiTheme="majorHAnsi" w:eastAsiaTheme="majorEastAsia" w:hAnsiTheme="majorHAnsi" w:cstheme="majorBidi"/>
      <w:b/>
      <w:bCs/>
      <w:color w:val="5B9BD5" w:themeColor="accent1"/>
      <w:sz w:val="26"/>
      <w:szCs w:val="26"/>
    </w:rPr>
  </w:style>
  <w:style w:type="paragraph" w:styleId="Beschriftung">
    <w:name w:val="caption"/>
    <w:basedOn w:val="Standard"/>
    <w:next w:val="Standard"/>
    <w:uiPriority w:val="35"/>
    <w:unhideWhenUsed/>
    <w:qFormat/>
    <w:rsid w:val="001234D3"/>
    <w:pPr>
      <w:spacing w:line="240" w:lineRule="auto"/>
    </w:pPr>
    <w:rPr>
      <w:bCs/>
      <w:color w:val="auto"/>
      <w:sz w:val="18"/>
      <w:szCs w:val="18"/>
    </w:rPr>
  </w:style>
  <w:style w:type="paragraph" w:styleId="Kopfzeile">
    <w:name w:val="header"/>
    <w:basedOn w:val="Standard"/>
    <w:link w:val="KopfzeileZchn"/>
    <w:uiPriority w:val="99"/>
    <w:unhideWhenUsed/>
    <w:rsid w:val="001234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34D3"/>
    <w:rPr>
      <w:rFonts w:ascii="Cambria" w:hAnsi="Cambria"/>
      <w:color w:val="171717" w:themeColor="background2" w:themeShade="1A"/>
    </w:rPr>
  </w:style>
  <w:style w:type="table" w:styleId="Listentabelle3Akzent1">
    <w:name w:val="List Table 3 Accent 1"/>
    <w:basedOn w:val="NormaleTabelle"/>
    <w:uiPriority w:val="48"/>
    <w:rsid w:val="001234D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uzeile">
    <w:name w:val="footer"/>
    <w:basedOn w:val="Standard"/>
    <w:link w:val="FuzeileZchn"/>
    <w:uiPriority w:val="99"/>
    <w:unhideWhenUsed/>
    <w:rsid w:val="001234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34D3"/>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1706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Münch</dc:creator>
  <cp:keywords/>
  <dc:description/>
  <cp:lastModifiedBy>Annika Münch</cp:lastModifiedBy>
  <cp:revision>1</cp:revision>
  <dcterms:created xsi:type="dcterms:W3CDTF">2015-08-22T14:07:00Z</dcterms:created>
  <dcterms:modified xsi:type="dcterms:W3CDTF">2015-08-22T14:08:00Z</dcterms:modified>
</cp:coreProperties>
</file>