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84" w:rsidRPr="0052115F" w:rsidRDefault="00E43884" w:rsidP="00E43884">
      <w:pPr>
        <w:pStyle w:val="berschrift1"/>
        <w:numPr>
          <w:ilvl w:val="0"/>
          <w:numId w:val="0"/>
        </w:numPr>
        <w:ind w:left="432" w:hanging="432"/>
        <w:rPr>
          <w:color w:val="auto"/>
        </w:rPr>
      </w:pPr>
      <w:bookmarkStart w:id="0" w:name="_Toc425776594"/>
      <w:r>
        <w:rPr>
          <w:noProof/>
          <w:color w:val="auto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55pt;margin-top:-29.15pt;width:462.45pt;height:84.2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E43884" w:rsidRPr="00F31EBF" w:rsidRDefault="00E43884" w:rsidP="00E4388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diesem Versuch wird die Schwimmfähigkeit verschiedener Gegenstände in Wasser von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untersucht. Dabei können sie Alltagsgegenstände mitbringen und vor der Durchführung Hypothesen aufstellen, ob und warum ein bestimmter Gegenstand schwimmt, schwebt oder sinkt. Die Lehrkraft kann ergänzend Gegenstände vorgeben.</w:t>
                  </w:r>
                </w:p>
              </w:txbxContent>
            </v:textbox>
            <w10:wrap type="square"/>
          </v:shape>
        </w:pict>
      </w:r>
      <w:bookmarkEnd w:id="0"/>
      <w:r w:rsidRPr="0052115F">
        <w:rPr>
          <w:color w:val="auto"/>
        </w:rPr>
        <w:t xml:space="preserve"> „Was schwimmt, was sinkt?“</w:t>
      </w:r>
    </w:p>
    <w:p w:rsidR="00E43884" w:rsidRPr="0052115F" w:rsidRDefault="00E43884" w:rsidP="00E43884">
      <w:pPr>
        <w:tabs>
          <w:tab w:val="left" w:pos="1701"/>
          <w:tab w:val="left" w:pos="1985"/>
        </w:tabs>
        <w:rPr>
          <w:color w:val="auto"/>
        </w:rPr>
      </w:pPr>
    </w:p>
    <w:p w:rsidR="00E43884" w:rsidRPr="0052115F" w:rsidRDefault="00E43884" w:rsidP="00E43884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52115F">
        <w:rPr>
          <w:color w:val="auto"/>
        </w:rPr>
        <w:t xml:space="preserve">Materialien: </w:t>
      </w:r>
      <w:r w:rsidRPr="0052115F">
        <w:rPr>
          <w:color w:val="auto"/>
        </w:rPr>
        <w:tab/>
      </w:r>
      <w:r w:rsidRPr="0052115F">
        <w:rPr>
          <w:color w:val="auto"/>
        </w:rPr>
        <w:tab/>
        <w:t>Glaswanne, Holz unterschiedlicher Form und Größe, Metall unterschiedl</w:t>
      </w:r>
      <w:r w:rsidRPr="0052115F">
        <w:rPr>
          <w:color w:val="auto"/>
        </w:rPr>
        <w:t>i</w:t>
      </w:r>
      <w:r w:rsidRPr="0052115F">
        <w:rPr>
          <w:color w:val="auto"/>
        </w:rPr>
        <w:t>cher Form und Größe (von Lehrkraft vorgegeben), Schaumstoffwürfel, Aluminiumkugel, etc.</w:t>
      </w:r>
    </w:p>
    <w:p w:rsidR="00E43884" w:rsidRPr="0052115F" w:rsidRDefault="00E43884" w:rsidP="00E43884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52115F">
        <w:rPr>
          <w:color w:val="auto"/>
        </w:rPr>
        <w:t>Chemikalien:</w:t>
      </w:r>
      <w:r w:rsidRPr="0052115F">
        <w:rPr>
          <w:color w:val="auto"/>
        </w:rPr>
        <w:tab/>
      </w:r>
      <w:r w:rsidRPr="0052115F">
        <w:rPr>
          <w:color w:val="auto"/>
        </w:rPr>
        <w:tab/>
        <w:t>Wasser</w:t>
      </w:r>
    </w:p>
    <w:p w:rsidR="00E43884" w:rsidRPr="0052115F" w:rsidRDefault="00E43884" w:rsidP="00E43884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52115F">
        <w:rPr>
          <w:color w:val="auto"/>
        </w:rPr>
        <w:t xml:space="preserve">Durchführung: </w:t>
      </w:r>
      <w:r w:rsidRPr="0052115F">
        <w:rPr>
          <w:color w:val="auto"/>
        </w:rPr>
        <w:tab/>
      </w:r>
      <w:r w:rsidRPr="0052115F">
        <w:rPr>
          <w:color w:val="auto"/>
        </w:rPr>
        <w:tab/>
        <w:t xml:space="preserve">Die Glaswanne wird zu etwa dreiviertel mit Wasser gefüllt. Im Anschluss werden die Gegenstände auf das Wasser gelegt. </w:t>
      </w:r>
    </w:p>
    <w:p w:rsidR="00E43884" w:rsidRPr="0052115F" w:rsidRDefault="00E43884" w:rsidP="00E43884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52115F">
        <w:rPr>
          <w:color w:val="auto"/>
        </w:rPr>
        <w:t>Beobachtung:</w:t>
      </w:r>
      <w:r w:rsidRPr="0052115F">
        <w:rPr>
          <w:color w:val="auto"/>
        </w:rPr>
        <w:tab/>
      </w:r>
      <w:r w:rsidRPr="0052115F">
        <w:rPr>
          <w:color w:val="auto"/>
        </w:rPr>
        <w:tab/>
      </w:r>
      <w:r w:rsidRPr="0052115F">
        <w:rPr>
          <w:color w:val="auto"/>
        </w:rPr>
        <w:tab/>
        <w:t>Sämtliche Gegenstände aus Holz schwimmen, wohingegen die Gegenstände aus Metall si</w:t>
      </w:r>
      <w:r w:rsidRPr="0052115F">
        <w:rPr>
          <w:color w:val="auto"/>
        </w:rPr>
        <w:t>n</w:t>
      </w:r>
      <w:r w:rsidRPr="0052115F">
        <w:rPr>
          <w:color w:val="auto"/>
        </w:rPr>
        <w:t>ken. Der Schaumstoffwürfel und die Aluminiumkugel schwimmen.</w:t>
      </w:r>
    </w:p>
    <w:p w:rsidR="00E43884" w:rsidRPr="0052115F" w:rsidRDefault="00E43884" w:rsidP="00E43884">
      <w:pPr>
        <w:keepNext/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noProof/>
          <w:color w:val="auto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18415</wp:posOffset>
            </wp:positionV>
            <wp:extent cx="3997325" cy="2247900"/>
            <wp:effectExtent l="19050" t="0" r="3175" b="0"/>
            <wp:wrapTight wrapText="bothSides">
              <wp:wrapPolygon edited="0">
                <wp:start x="-103" y="0"/>
                <wp:lineTo x="-103" y="21417"/>
                <wp:lineTo x="21617" y="21417"/>
                <wp:lineTo x="21617" y="0"/>
                <wp:lineTo x="-103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884" w:rsidRPr="0052115F" w:rsidRDefault="00E43884" w:rsidP="00E43884">
      <w:pPr>
        <w:keepNext/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E43884" w:rsidRPr="0052115F" w:rsidRDefault="00E43884" w:rsidP="00E43884">
      <w:pPr>
        <w:keepNext/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E43884" w:rsidRPr="0052115F" w:rsidRDefault="00E43884" w:rsidP="00E43884">
      <w:pPr>
        <w:tabs>
          <w:tab w:val="left" w:pos="1701"/>
          <w:tab w:val="left" w:pos="1985"/>
        </w:tabs>
        <w:ind w:left="2124" w:hanging="2124"/>
        <w:rPr>
          <w:color w:val="auto"/>
        </w:rPr>
      </w:pPr>
    </w:p>
    <w:p w:rsidR="00E43884" w:rsidRPr="0052115F" w:rsidRDefault="00E43884" w:rsidP="00E43884">
      <w:pPr>
        <w:tabs>
          <w:tab w:val="left" w:pos="1701"/>
          <w:tab w:val="left" w:pos="1985"/>
        </w:tabs>
        <w:ind w:left="2124" w:hanging="2124"/>
        <w:rPr>
          <w:color w:val="auto"/>
        </w:rPr>
      </w:pPr>
    </w:p>
    <w:p w:rsidR="00E43884" w:rsidRPr="0052115F" w:rsidRDefault="00E43884" w:rsidP="00E43884">
      <w:pPr>
        <w:tabs>
          <w:tab w:val="left" w:pos="1701"/>
          <w:tab w:val="left" w:pos="1985"/>
        </w:tabs>
        <w:ind w:left="2124" w:hanging="2124"/>
        <w:rPr>
          <w:color w:val="auto"/>
        </w:rPr>
      </w:pPr>
    </w:p>
    <w:p w:rsidR="00E43884" w:rsidRDefault="00E43884" w:rsidP="00E43884">
      <w:pPr>
        <w:tabs>
          <w:tab w:val="left" w:pos="1701"/>
          <w:tab w:val="left" w:pos="1985"/>
        </w:tabs>
        <w:rPr>
          <w:color w:val="auto"/>
        </w:rPr>
      </w:pPr>
    </w:p>
    <w:p w:rsidR="00E43884" w:rsidRPr="0052115F" w:rsidRDefault="00E43884" w:rsidP="00E43884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Pr="0052115F">
        <w:rPr>
          <w:color w:val="auto"/>
          <w:sz w:val="18"/>
        </w:rPr>
        <w:t xml:space="preserve">Abb. </w:t>
      </w:r>
      <w:r w:rsidRPr="0052115F">
        <w:rPr>
          <w:color w:val="auto"/>
          <w:sz w:val="18"/>
        </w:rPr>
        <w:fldChar w:fldCharType="begin"/>
      </w:r>
      <w:r w:rsidRPr="0052115F">
        <w:rPr>
          <w:color w:val="auto"/>
          <w:sz w:val="18"/>
        </w:rPr>
        <w:instrText xml:space="preserve"> SEQ Abb. \* ARABIC </w:instrText>
      </w:r>
      <w:r w:rsidRPr="0052115F">
        <w:rPr>
          <w:color w:val="auto"/>
          <w:sz w:val="18"/>
        </w:rPr>
        <w:fldChar w:fldCharType="separate"/>
      </w:r>
      <w:r>
        <w:rPr>
          <w:noProof/>
          <w:color w:val="auto"/>
          <w:sz w:val="18"/>
        </w:rPr>
        <w:t>1</w:t>
      </w:r>
      <w:r w:rsidRPr="0052115F">
        <w:rPr>
          <w:color w:val="auto"/>
          <w:sz w:val="18"/>
        </w:rPr>
        <w:fldChar w:fldCharType="end"/>
      </w:r>
      <w:r w:rsidRPr="0052115F">
        <w:rPr>
          <w:color w:val="auto"/>
          <w:sz w:val="18"/>
        </w:rPr>
        <w:t xml:space="preserve"> - </w:t>
      </w:r>
      <w:r w:rsidRPr="0052115F">
        <w:rPr>
          <w:noProof/>
          <w:color w:val="auto"/>
          <w:sz w:val="18"/>
        </w:rPr>
        <w:t xml:space="preserve"> Verschiedene Gegenstände in Wasser</w:t>
      </w:r>
    </w:p>
    <w:p w:rsidR="00E43884" w:rsidRPr="0052115F" w:rsidRDefault="00E43884" w:rsidP="00E43884">
      <w:pPr>
        <w:tabs>
          <w:tab w:val="left" w:pos="1701"/>
          <w:tab w:val="left" w:pos="1985"/>
        </w:tabs>
        <w:rPr>
          <w:rFonts w:eastAsiaTheme="minorEastAsia"/>
          <w:color w:val="auto"/>
        </w:rPr>
      </w:pPr>
      <w:r w:rsidRPr="0052115F">
        <w:rPr>
          <w:color w:val="auto"/>
        </w:rPr>
        <w:t xml:space="preserve">Deutung: </w:t>
      </w:r>
      <w:r w:rsidRPr="0052115F">
        <w:rPr>
          <w:color w:val="auto"/>
        </w:rPr>
        <w:tab/>
      </w:r>
      <w:r w:rsidRPr="0052115F">
        <w:rPr>
          <w:color w:val="auto"/>
        </w:rPr>
        <w:tab/>
        <w:t>Die Schwimmfähigkeit eines Gegenstandes ist materialabhängig.</w:t>
      </w:r>
    </w:p>
    <w:p w:rsidR="00E43884" w:rsidRPr="0052115F" w:rsidRDefault="00E43884" w:rsidP="00E43884">
      <w:pPr>
        <w:spacing w:line="276" w:lineRule="auto"/>
        <w:jc w:val="left"/>
        <w:rPr>
          <w:color w:val="auto"/>
        </w:rPr>
      </w:pPr>
      <w:r w:rsidRPr="0052115F">
        <w:rPr>
          <w:color w:val="auto"/>
        </w:rPr>
        <w:t>Entsorgung:</w:t>
      </w:r>
      <w:r w:rsidRPr="0052115F">
        <w:rPr>
          <w:color w:val="auto"/>
        </w:rPr>
        <w:tab/>
        <w:t xml:space="preserve">            Das Wasser wird im Ausguss entsorgt. </w:t>
      </w:r>
    </w:p>
    <w:p w:rsidR="00E43884" w:rsidRDefault="00E43884" w:rsidP="00E43884">
      <w:pPr>
        <w:spacing w:after="0" w:line="276" w:lineRule="auto"/>
        <w:jc w:val="left"/>
        <w:rPr>
          <w:color w:val="auto"/>
        </w:rPr>
      </w:pPr>
    </w:p>
    <w:p w:rsidR="00E43884" w:rsidRDefault="00E43884" w:rsidP="00E43884">
      <w:pPr>
        <w:spacing w:after="0" w:line="276" w:lineRule="auto"/>
        <w:jc w:val="left"/>
        <w:rPr>
          <w:color w:val="auto"/>
        </w:rPr>
      </w:pPr>
    </w:p>
    <w:p w:rsidR="00E43884" w:rsidRDefault="00E43884" w:rsidP="00E43884">
      <w:pPr>
        <w:spacing w:after="0" w:line="276" w:lineRule="auto"/>
        <w:jc w:val="left"/>
        <w:rPr>
          <w:color w:val="auto"/>
        </w:rPr>
      </w:pPr>
    </w:p>
    <w:p w:rsidR="00E43884" w:rsidRDefault="00E43884" w:rsidP="00E43884">
      <w:pPr>
        <w:spacing w:after="0"/>
        <w:jc w:val="left"/>
        <w:rPr>
          <w:color w:val="auto"/>
        </w:rPr>
      </w:pPr>
    </w:p>
    <w:p w:rsidR="00E43884" w:rsidRPr="0052115F" w:rsidRDefault="00E43884" w:rsidP="00E43884">
      <w:pPr>
        <w:spacing w:after="0"/>
        <w:jc w:val="left"/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 w:rsidRPr="0052115F">
        <w:rPr>
          <w:color w:val="auto"/>
        </w:rPr>
        <w:lastRenderedPageBreak/>
        <w:t>Literatur:</w:t>
      </w:r>
      <w:r w:rsidRPr="0052115F">
        <w:rPr>
          <w:color w:val="auto"/>
        </w:rPr>
        <w:tab/>
        <w:t xml:space="preserve">            </w:t>
      </w:r>
      <w:r w:rsidRPr="0052115F">
        <w:rPr>
          <w:rFonts w:asciiTheme="majorHAnsi" w:hAnsiTheme="majorHAnsi"/>
          <w:color w:val="auto"/>
        </w:rPr>
        <w:t>Stiftung Haus der kleinen Forscher,</w:t>
      </w:r>
    </w:p>
    <w:p w:rsidR="00E43884" w:rsidRPr="0052115F" w:rsidRDefault="00E43884" w:rsidP="00E43884">
      <w:pPr>
        <w:spacing w:after="0"/>
        <w:ind w:left="1985"/>
        <w:rPr>
          <w:rFonts w:asciiTheme="majorHAnsi" w:hAnsiTheme="majorHAnsi"/>
          <w:color w:val="auto"/>
        </w:rPr>
      </w:pPr>
      <w:r w:rsidRPr="0052115F">
        <w:rPr>
          <w:rFonts w:asciiTheme="majorHAnsi" w:hAnsiTheme="majorHAnsi"/>
          <w:color w:val="auto"/>
        </w:rPr>
        <w:t xml:space="preserve">www.haus-der-kleinen-forscher.de/de/praxisideen/experimente-   </w:t>
      </w:r>
    </w:p>
    <w:p w:rsidR="00E43884" w:rsidRPr="0052115F" w:rsidRDefault="00E43884" w:rsidP="00E43884">
      <w:pPr>
        <w:spacing w:after="0"/>
        <w:ind w:left="1416"/>
        <w:rPr>
          <w:rFonts w:asciiTheme="majorHAnsi" w:hAnsiTheme="majorHAnsi"/>
          <w:color w:val="auto"/>
        </w:rPr>
      </w:pPr>
      <w:r w:rsidRPr="0052115F">
        <w:rPr>
          <w:rFonts w:asciiTheme="majorHAnsi" w:hAnsiTheme="majorHAnsi"/>
          <w:color w:val="auto"/>
        </w:rPr>
        <w:t xml:space="preserve">          </w:t>
      </w:r>
      <w:r>
        <w:rPr>
          <w:rFonts w:asciiTheme="majorHAnsi" w:hAnsiTheme="majorHAnsi"/>
          <w:color w:val="auto"/>
        </w:rPr>
        <w:t xml:space="preserve">  </w:t>
      </w:r>
      <w:r w:rsidRPr="0052115F">
        <w:rPr>
          <w:rFonts w:asciiTheme="majorHAnsi" w:hAnsiTheme="majorHAnsi"/>
          <w:color w:val="auto"/>
        </w:rPr>
        <w:t>versuche/wasser/</w:t>
      </w:r>
      <w:proofErr w:type="spellStart"/>
      <w:r w:rsidRPr="0052115F">
        <w:rPr>
          <w:rFonts w:asciiTheme="majorHAnsi" w:hAnsiTheme="majorHAnsi"/>
          <w:color w:val="auto"/>
        </w:rPr>
        <w:t>experiment</w:t>
      </w:r>
      <w:proofErr w:type="spellEnd"/>
      <w:r w:rsidRPr="0052115F">
        <w:rPr>
          <w:rFonts w:asciiTheme="majorHAnsi" w:hAnsiTheme="majorHAnsi"/>
          <w:color w:val="auto"/>
        </w:rPr>
        <w:t>/schwimmt-es-oder-schwimmt-es-nicht/</w:t>
      </w:r>
    </w:p>
    <w:p w:rsidR="00E43884" w:rsidRPr="0052115F" w:rsidRDefault="00E43884" w:rsidP="00E43884">
      <w:pPr>
        <w:ind w:left="1985" w:hanging="1985"/>
        <w:rPr>
          <w:rFonts w:asciiTheme="majorHAnsi" w:hAnsiTheme="majorHAnsi"/>
          <w:color w:val="auto"/>
        </w:rPr>
      </w:pPr>
      <w:r w:rsidRPr="0052115F">
        <w:rPr>
          <w:rFonts w:asciiTheme="majorHAnsi" w:hAnsiTheme="majorHAnsi"/>
          <w:color w:val="auto"/>
        </w:rPr>
        <w:t xml:space="preserve">                                    </w:t>
      </w:r>
      <w:r>
        <w:rPr>
          <w:rFonts w:asciiTheme="majorHAnsi" w:hAnsiTheme="majorHAnsi"/>
          <w:color w:val="auto"/>
        </w:rPr>
        <w:tab/>
      </w:r>
      <w:r w:rsidRPr="0052115F">
        <w:rPr>
          <w:rFonts w:asciiTheme="majorHAnsi" w:hAnsiTheme="majorHAnsi"/>
          <w:color w:val="auto"/>
        </w:rPr>
        <w:t>(abgerufen am 29.7.2015)</w:t>
      </w:r>
    </w:p>
    <w:p w:rsidR="00E43884" w:rsidRPr="0052115F" w:rsidRDefault="00E43884" w:rsidP="00E43884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E43884" w:rsidRPr="0052115F" w:rsidRDefault="00E43884" w:rsidP="00E43884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</w:r>
      <w:r>
        <w:rPr>
          <w:color w:val="auto"/>
        </w:rPr>
        <w:pict>
          <v:shape id="_x0000_s1026" type="#_x0000_t202" style="width:462.45pt;height:183.3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E43884" w:rsidRPr="00EA24E2" w:rsidRDefault="00E43884" w:rsidP="00E4388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Der Versuch eignet sich gut als Einstiegsversuch, um im weiteren Unterrichtsverlauf die Stof</w:t>
                  </w:r>
                  <w:r>
                    <w:rPr>
                      <w:color w:val="auto"/>
                    </w:rPr>
                    <w:t>f</w:t>
                  </w:r>
                  <w:r>
                    <w:rPr>
                      <w:color w:val="auto"/>
                    </w:rPr>
                    <w:t xml:space="preserve">eigenschaft „Dichte“ einzuführen. Vorwissen ist nicht erforderlich. Das </w:t>
                  </w:r>
                  <w:proofErr w:type="spellStart"/>
                  <w:r>
                    <w:rPr>
                      <w:color w:val="auto"/>
                    </w:rPr>
                    <w:t>Präkonzept</w:t>
                  </w:r>
                  <w:proofErr w:type="spellEnd"/>
                  <w:r>
                    <w:rPr>
                      <w:color w:val="auto"/>
                    </w:rPr>
                    <w:t xml:space="preserve">, dass ein Gegenstand schwimmt, wenn er klein/leicht bzw. sinkt wenn er groß/schwer ist, wird durch den Versuch widerlegt. Dafür sollte die Lehrkraft Gegenstände verschiedener Größe und Form, jedoch gleichen Materials wählen (in diesem Fall: Holz und Metall), damit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ein Herau</w:t>
                  </w:r>
                  <w:r>
                    <w:rPr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>finden, dass die Schwimmfähigkeit materialabhängig ist, ermöglicht wird. Die Gegenstand</w:t>
                  </w:r>
                  <w:r>
                    <w:rPr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 xml:space="preserve">auswahl lässt sich durch Alltagsgegenstände, die von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mitgebracht werden, ergänzen. Werden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vor Durchführung des Versuchs aufgefordert Hypothesen zu formulieren, weckt diese Aufforderung ihre Motivation und das Interesse an dem Versuch.</w:t>
                  </w:r>
                </w:p>
              </w:txbxContent>
            </v:textbox>
            <w10:wrap type="none"/>
            <w10:anchorlock/>
          </v:shape>
        </w:pict>
      </w:r>
    </w:p>
    <w:p w:rsidR="00E43884" w:rsidRPr="0052115F" w:rsidRDefault="00E43884" w:rsidP="00E43884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D54C31" w:rsidRDefault="00D45F41"/>
    <w:sectPr w:rsidR="00D54C31" w:rsidSect="00CA5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884"/>
    <w:rsid w:val="003F61E8"/>
    <w:rsid w:val="006838B0"/>
    <w:rsid w:val="00741064"/>
    <w:rsid w:val="009D03AE"/>
    <w:rsid w:val="00CA5D71"/>
    <w:rsid w:val="00D45F41"/>
    <w:rsid w:val="00E4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88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388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388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388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388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388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388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388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388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388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88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88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4388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38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38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38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38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38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38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887</Characters>
  <Application>Microsoft Office Word</Application>
  <DocSecurity>0</DocSecurity>
  <Lines>7</Lines>
  <Paragraphs>2</Paragraphs>
  <ScaleCrop>false</ScaleCrop>
  <Company>Frost-RL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</dc:creator>
  <cp:lastModifiedBy>Hiller</cp:lastModifiedBy>
  <cp:revision>1</cp:revision>
  <dcterms:created xsi:type="dcterms:W3CDTF">2015-08-21T13:39:00Z</dcterms:created>
  <dcterms:modified xsi:type="dcterms:W3CDTF">2015-08-21T13:41:00Z</dcterms:modified>
</cp:coreProperties>
</file>