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C9" w:rsidRPr="00B715C9" w:rsidRDefault="00B715C9" w:rsidP="00B715C9">
      <w:pPr>
        <w:pStyle w:val="berschrift2"/>
        <w:numPr>
          <w:ilvl w:val="0"/>
          <w:numId w:val="0"/>
        </w:numPr>
        <w:ind w:left="576"/>
        <w:rPr>
          <w:rFonts w:ascii="Cambria" w:hAnsi="Cambria"/>
          <w:szCs w:val="22"/>
        </w:rPr>
      </w:pPr>
      <w:bookmarkStart w:id="0" w:name="_Toc427829332"/>
      <w:r w:rsidRPr="00B715C9">
        <w:rPr>
          <w:rFonts w:ascii="Cambria" w:hAnsi="Cambria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18982" wp14:editId="7CC510B2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5873115" cy="1047750"/>
                <wp:effectExtent l="0" t="0" r="13335" b="19050"/>
                <wp:wrapSquare wrapText="bothSides"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47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5C9" w:rsidRPr="00F927A9" w:rsidRDefault="00B715C9" w:rsidP="00B715C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diesem Versuch wird gezeigt, dass einige Stoffe - hier als Beispiel Iod - direkt vom festen in den gasförmigen Zustand übergehen können und umgekehrt. Durch die bei der Sublimation entstehenden violetten Farbdämpfe ist dieser Versuch für Schülerinnen und Schüler besonders anschaulich.</w:t>
                            </w:r>
                          </w:p>
                          <w:p w:rsidR="00B715C9" w:rsidRPr="00F31EBF" w:rsidRDefault="00B715C9" w:rsidP="00B715C9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18982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31.5pt;width:462.45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MR7AIAACsGAAAOAAAAZHJzL2Uyb0RvYy54bWysVFtv2jAUfp+0/2D5nSaBhNCooQIK06Tu&#10;IrXTno3tEGuOndmGpJ3233fsFMrWh01TQYp8fPnOdy7fubruG4kO3FihVYmTixgjrqhmQu1K/OV+&#10;M5phZB1RjEiteIkfuMXX87dvrrq24GNda8m4QQCibNG1Ja6da4sosrTmDbEXuuUKDittGuLANLuI&#10;GdIBeiOjcRxPo04b1hpNubWwezMc4nnArypO3aeqstwhWWLg5sLXhO/Wf6P5FSl2hrS1oE80yH+w&#10;aIhQ4PQEdUMcQXsjXkA1ghptdeUuqG4iXVWC8hADRJPEf0RzV5OWh1ggObY9pcm+Hiz9ePhskGAl&#10;nmCkSAMluue9Q0vdo2lIT9faAm7dtXDP9bAPZQ6h2vZW028WKb2qidrxhTG6qzlhQC/xiY3OnvqC&#10;2MJ6kG33QTPwQ/ZOB6C+Mo3PHWQDATqU6eFUGs+FwmY2yydJkmFE4SyJ0zzPAruIFMfnrbHuHdcN&#10;8osSG6h9gCeHW+s8HVIcr3hvVkvBNkLKYPh+4ytp0IFAp0g3hCj3DXAd9pLY/4aGgX1oq2H/SCO0&#10;rIcInn5Dlwp1wHqcw/u/uSaUcuWycO+V3Puob4itB74MVkMUjXCgPSmaEs/OgvMlXCsWlOGIkMMa&#10;sieVJ8+DqoaUgtU7WIZ9qFTo+B+LTRbn6WQ2giJNRulkHY+Ws81qtFgl02m+Xq6W6+SnDzBJi1ow&#10;xtU6YNqjAJP03xr8aRQM0jlJ8ETQs9J7iPGuZh1iwnfFJLscJxgMmAG+Hr6kiMgdDC/qDEZGu6/C&#10;1UF5vgk9hjW77ak1ZlP/D+19hh5qfuY4ehHbcKOHVEEmj1kLCvGiGOTh+m0PafdK2Wr2AFoBOkEQ&#10;MGFhUWvziFEH06rE9vueGI6RfK9Ab5dJmvrxFow0y8dgmPOT7fkJURSgSuwg9LBcuWEk7lsjdjV4&#10;Gtpf6QVotBJBPc+sIARvwEQKwTxNTz/yzu1w63nGz38BAAD//wMAUEsDBBQABgAIAAAAIQDpVpJn&#10;3gAAAAcBAAAPAAAAZHJzL2Rvd25yZXYueG1sTI/BTsMwEETvSPyDtUjcqE2AkoY4FarEAVoOBLhv&#10;YzeJiNdR7CahX89ygtNqNKOZt/l6dp0Y7RBaTxquFwqEpcqblmoNH+9PVymIEJEMdp6shm8bYF2c&#10;n+WYGT/Rmx3LWAsuoZChhibGPpMyVI11GBa+t8TewQ8OI8uhlmbAictdJxOlltJhS7zQYG83ja2+&#10;yqPTsHlJT5O7Q9yOn4e+3D1vT+r1XuvLi/nxAUS0c/wLwy8+o0PBTHt/JBNEp4EfiRqWN3zZXSW3&#10;KxB7DUmSKpBFLv/zFz8AAAD//wMAUEsBAi0AFAAGAAgAAAAhALaDOJL+AAAA4QEAABMAAAAAAAAA&#10;AAAAAAAAAAAAAFtDb250ZW50X1R5cGVzXS54bWxQSwECLQAUAAYACAAAACEAOP0h/9YAAACUAQAA&#10;CwAAAAAAAAAAAAAAAAAvAQAAX3JlbHMvLnJlbHNQSwECLQAUAAYACAAAACEAcrzjEewCAAArBgAA&#10;DgAAAAAAAAAAAAAAAAAuAgAAZHJzL2Uyb0RvYy54bWxQSwECLQAUAAYACAAAACEA6VaSZ94AAAAH&#10;AQAADwAAAAAAAAAAAAAAAABGBQAAZHJzL2Rvd25yZXYueG1sUEsFBgAAAAAEAAQA8wAAAFEGAAAA&#10;AA==&#10;" fillcolor="white [3201]" strokecolor="#4472c4 [3208]" strokeweight="1pt">
                <v:stroke dashstyle="dash"/>
                <v:shadow color="#868686"/>
                <v:textbox>
                  <w:txbxContent>
                    <w:p w:rsidR="00B715C9" w:rsidRPr="00F927A9" w:rsidRDefault="00B715C9" w:rsidP="00B715C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 diesem Versuch wird gezeigt, dass einige Stoffe - hier als Beispiel Iod - direkt vom festen in den gasförmigen Zustand übergehen können und umgekehrt. Durch die bei der Sublimation entstehenden violetten Farbdämpfe ist dieser Versuch für Schülerinnen und Schüler besonders anschaulich.</w:t>
                      </w:r>
                    </w:p>
                    <w:p w:rsidR="00B715C9" w:rsidRPr="00F31EBF" w:rsidRDefault="00B715C9" w:rsidP="00B715C9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15C9">
        <w:rPr>
          <w:rFonts w:ascii="Cambria" w:hAnsi="Cambria"/>
          <w:szCs w:val="22"/>
        </w:rPr>
        <w:t xml:space="preserve">V1 – Sublimation und </w:t>
      </w:r>
      <w:proofErr w:type="spellStart"/>
      <w:r w:rsidRPr="00B715C9">
        <w:rPr>
          <w:rFonts w:ascii="Cambria" w:hAnsi="Cambria"/>
          <w:szCs w:val="22"/>
        </w:rPr>
        <w:t>Resublimation</w:t>
      </w:r>
      <w:proofErr w:type="spellEnd"/>
      <w:r w:rsidRPr="00B715C9">
        <w:rPr>
          <w:rFonts w:ascii="Cambria" w:hAnsi="Cambria"/>
          <w:szCs w:val="22"/>
        </w:rPr>
        <w:t xml:space="preserve"> von Iod</w:t>
      </w:r>
      <w:bookmarkEnd w:id="0"/>
    </w:p>
    <w:p w:rsidR="00B715C9" w:rsidRPr="00B715C9" w:rsidRDefault="00B715C9" w:rsidP="00B715C9">
      <w:pPr>
        <w:pStyle w:val="berschrift2"/>
        <w:numPr>
          <w:ilvl w:val="0"/>
          <w:numId w:val="0"/>
        </w:numPr>
        <w:rPr>
          <w:rFonts w:ascii="Cambria" w:hAnsi="Cambria"/>
          <w:szCs w:val="22"/>
        </w:rPr>
      </w:pPr>
      <w:bookmarkStart w:id="1" w:name="_Toc425776595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715C9" w:rsidRPr="00B715C9" w:rsidTr="00673596">
        <w:tc>
          <w:tcPr>
            <w:tcW w:w="9322" w:type="dxa"/>
            <w:gridSpan w:val="9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B715C9" w:rsidRPr="00B715C9" w:rsidRDefault="00B715C9" w:rsidP="00B715C9">
            <w:pPr>
              <w:spacing w:after="0"/>
              <w:rPr>
                <w:b/>
                <w:bCs/>
                <w:color w:val="FFFFFF" w:themeColor="background1"/>
              </w:rPr>
            </w:pPr>
            <w:r w:rsidRPr="00B715C9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715C9" w:rsidRPr="00B715C9" w:rsidTr="00673596">
        <w:trPr>
          <w:trHeight w:val="437"/>
        </w:trPr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 w:line="276" w:lineRule="auto"/>
              <w:rPr>
                <w:b/>
                <w:bCs/>
              </w:rPr>
            </w:pPr>
            <w:r w:rsidRPr="00B715C9">
              <w:t>Iod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t>H: 332, 312, 400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t>P: 273, 302 + 352</w:t>
            </w:r>
          </w:p>
        </w:tc>
      </w:tr>
      <w:tr w:rsidR="00B715C9" w:rsidRPr="00B715C9" w:rsidTr="00673596">
        <w:tc>
          <w:tcPr>
            <w:tcW w:w="1009" w:type="dxa"/>
            <w:tcBorders>
              <w:top w:val="single" w:sz="4" w:space="0" w:color="5B9BD5" w:themeColor="accent1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  <w:rPr>
                <w:b/>
                <w:bCs/>
              </w:rPr>
            </w:pPr>
            <w:r w:rsidRPr="00B715C9">
              <w:rPr>
                <w:b/>
                <w:noProof/>
                <w:lang w:eastAsia="de-DE"/>
              </w:rPr>
              <w:drawing>
                <wp:inline distT="0" distB="0" distL="0" distR="0" wp14:anchorId="2F1E8004" wp14:editId="4021DCF7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rPr>
                <w:noProof/>
                <w:lang w:eastAsia="de-DE"/>
              </w:rPr>
              <w:drawing>
                <wp:inline distT="0" distB="0" distL="0" distR="0" wp14:anchorId="6E26BC74" wp14:editId="5F18AE57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rPr>
                <w:noProof/>
                <w:lang w:eastAsia="de-DE"/>
              </w:rPr>
              <w:drawing>
                <wp:inline distT="0" distB="0" distL="0" distR="0" wp14:anchorId="50E537B7" wp14:editId="049747D8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rPr>
                <w:noProof/>
                <w:lang w:eastAsia="de-DE"/>
              </w:rPr>
              <w:drawing>
                <wp:inline distT="0" distB="0" distL="0" distR="0" wp14:anchorId="3AABCD36" wp14:editId="6BEC5CBE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rPr>
                <w:noProof/>
                <w:lang w:eastAsia="de-DE"/>
              </w:rPr>
              <w:drawing>
                <wp:inline distT="0" distB="0" distL="0" distR="0" wp14:anchorId="65AED3D7" wp14:editId="7F01D1D1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rPr>
                <w:noProof/>
                <w:lang w:eastAsia="de-DE"/>
              </w:rPr>
              <w:drawing>
                <wp:inline distT="0" distB="0" distL="0" distR="0" wp14:anchorId="03DB42A7" wp14:editId="0D98C0BC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rPr>
                <w:noProof/>
                <w:lang w:eastAsia="de-DE"/>
              </w:rPr>
              <w:drawing>
                <wp:inline distT="0" distB="0" distL="0" distR="0" wp14:anchorId="3826AB63" wp14:editId="3E89CC8E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5B9BD5" w:themeColor="accent1"/>
              <w:bottom w:val="single" w:sz="8" w:space="0" w:color="4F81BD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rPr>
                <w:noProof/>
                <w:lang w:eastAsia="de-DE"/>
              </w:rPr>
              <w:drawing>
                <wp:inline distT="0" distB="0" distL="0" distR="0" wp14:anchorId="47794A63" wp14:editId="132799E6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5B9BD5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715C9" w:rsidRPr="00B715C9" w:rsidRDefault="00B715C9" w:rsidP="00B715C9">
            <w:pPr>
              <w:spacing w:after="0"/>
            </w:pPr>
            <w:r w:rsidRPr="00B715C9">
              <w:rPr>
                <w:noProof/>
                <w:lang w:eastAsia="de-DE"/>
              </w:rPr>
              <w:drawing>
                <wp:inline distT="0" distB="0" distL="0" distR="0" wp14:anchorId="7147CF8A" wp14:editId="6AF1C9CE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5C9" w:rsidRPr="00B715C9" w:rsidRDefault="00B715C9" w:rsidP="00B715C9">
      <w:pPr>
        <w:tabs>
          <w:tab w:val="left" w:pos="1701"/>
          <w:tab w:val="left" w:pos="1985"/>
        </w:tabs>
        <w:ind w:left="1980" w:hanging="1980"/>
      </w:pPr>
    </w:p>
    <w:p w:rsidR="00B715C9" w:rsidRPr="00B715C9" w:rsidRDefault="00B715C9" w:rsidP="00B715C9">
      <w:pPr>
        <w:tabs>
          <w:tab w:val="left" w:pos="1701"/>
          <w:tab w:val="left" w:pos="1985"/>
        </w:tabs>
        <w:ind w:left="1980" w:hanging="1980"/>
      </w:pPr>
      <w:r w:rsidRPr="00B715C9">
        <w:t xml:space="preserve">Materialien: </w:t>
      </w:r>
      <w:r w:rsidRPr="00B715C9">
        <w:tab/>
      </w:r>
      <w:r w:rsidRPr="00B715C9">
        <w:tab/>
        <w:t>Drahtnetz, Dreifuß, Sand, Bunsenbrenner, 300 </w:t>
      </w:r>
      <w:proofErr w:type="spellStart"/>
      <w:r w:rsidRPr="00B715C9">
        <w:t>mL</w:t>
      </w:r>
      <w:proofErr w:type="spellEnd"/>
      <w:r w:rsidRPr="00B715C9">
        <w:t xml:space="preserve"> </w:t>
      </w:r>
      <w:proofErr w:type="spellStart"/>
      <w:r w:rsidRPr="00B715C9">
        <w:t>Weithalserlenmeyerkolben</w:t>
      </w:r>
      <w:proofErr w:type="spellEnd"/>
      <w:r w:rsidRPr="00B715C9">
        <w:t>, Uhrglas, Eis</w:t>
      </w:r>
    </w:p>
    <w:p w:rsidR="00B715C9" w:rsidRPr="00B715C9" w:rsidRDefault="00B715C9" w:rsidP="00B715C9">
      <w:pPr>
        <w:tabs>
          <w:tab w:val="left" w:pos="1701"/>
          <w:tab w:val="left" w:pos="1985"/>
        </w:tabs>
        <w:ind w:left="1980" w:hanging="1980"/>
      </w:pPr>
      <w:r w:rsidRPr="00B715C9">
        <w:t>Chemikalien:</w:t>
      </w:r>
      <w:r w:rsidRPr="00B715C9">
        <w:tab/>
      </w:r>
      <w:r w:rsidRPr="00B715C9">
        <w:tab/>
        <w:t xml:space="preserve">Iod, </w:t>
      </w:r>
      <w:proofErr w:type="spellStart"/>
      <w:r w:rsidRPr="00B715C9">
        <w:t>Natriumthiosulfat</w:t>
      </w:r>
      <w:proofErr w:type="spellEnd"/>
      <w:r w:rsidRPr="00B715C9">
        <w:t>-Lösung, Natriumhydrogencarbonat</w:t>
      </w:r>
    </w:p>
    <w:p w:rsidR="00B715C9" w:rsidRPr="00B715C9" w:rsidRDefault="00B715C9" w:rsidP="00B715C9">
      <w:pPr>
        <w:tabs>
          <w:tab w:val="left" w:pos="1701"/>
          <w:tab w:val="left" w:pos="1985"/>
        </w:tabs>
        <w:ind w:left="1980" w:hanging="1980"/>
      </w:pPr>
      <w:r w:rsidRPr="00B715C9">
        <w:t xml:space="preserve">Durchführung: </w:t>
      </w:r>
      <w:r w:rsidRPr="00B715C9">
        <w:tab/>
      </w:r>
      <w:r w:rsidRPr="00B715C9">
        <w:tab/>
        <w:t xml:space="preserve">Zunächst wird eine </w:t>
      </w:r>
      <w:proofErr w:type="spellStart"/>
      <w:r w:rsidRPr="00B715C9">
        <w:t>Natriumthiosulfat</w:t>
      </w:r>
      <w:proofErr w:type="spellEnd"/>
      <w:r w:rsidRPr="00B715C9">
        <w:t xml:space="preserve">-Lösung hergestellt, welche während des Versuchs bereitsteht. Dann wird eine etwa 1 cm dicke Schicht Sand auf das Drahtnetz gegeben und dieses auf dem Dreifuß positioniert. Der Sand wird mit dem Bunsenbrenner für 2 Minuten erhitzt. Anschließend werden einige </w:t>
      </w:r>
      <w:proofErr w:type="spellStart"/>
      <w:r w:rsidRPr="00B715C9">
        <w:t>Iodkristalle</w:t>
      </w:r>
      <w:proofErr w:type="spellEnd"/>
      <w:r w:rsidRPr="00B715C9">
        <w:t xml:space="preserve"> in den </w:t>
      </w:r>
      <w:proofErr w:type="spellStart"/>
      <w:r w:rsidRPr="00B715C9">
        <w:t>Weithalserlenmeyerkolben</w:t>
      </w:r>
      <w:proofErr w:type="spellEnd"/>
      <w:r w:rsidRPr="00B715C9">
        <w:t xml:space="preserve"> gegeben und dieser mit einem Uhrglas abgedeckt, auf welches etwas Eis gegeben wurde. Nun wird der Erlenmeyerkolben auf den warmen Sand gestellt.</w:t>
      </w:r>
    </w:p>
    <w:p w:rsidR="00B715C9" w:rsidRPr="00B715C9" w:rsidRDefault="00B715C9" w:rsidP="00B715C9">
      <w:pPr>
        <w:tabs>
          <w:tab w:val="left" w:pos="1701"/>
          <w:tab w:val="left" w:pos="1985"/>
        </w:tabs>
        <w:ind w:left="1980" w:hanging="1980"/>
      </w:pPr>
      <w:r w:rsidRPr="00B715C9">
        <w:t>Beobachtung:</w:t>
      </w:r>
      <w:r w:rsidRPr="00B715C9">
        <w:tab/>
      </w:r>
      <w:r w:rsidRPr="00B715C9">
        <w:tab/>
        <w:t>Es bildet sich ein violettes Gas, welches sich im gesamten Erlenmeyerkolben verteilt. Am Uhrglas bilden sich kleine glänzend violette Kristalle.</w:t>
      </w:r>
    </w:p>
    <w:p w:rsidR="00B715C9" w:rsidRPr="00B715C9" w:rsidRDefault="00B715C9" w:rsidP="00B715C9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B715C9">
        <w:rPr>
          <w:noProof/>
          <w:lang w:eastAsia="de-DE"/>
        </w:rPr>
        <w:lastRenderedPageBreak/>
        <w:drawing>
          <wp:inline distT="0" distB="0" distL="0" distR="0" wp14:anchorId="58D7DA99" wp14:editId="6BE9F5AC">
            <wp:extent cx="3483187" cy="2612390"/>
            <wp:effectExtent l="0" t="2857" r="317" b="318"/>
            <wp:docPr id="9" name="Grafik 9" descr="C:\Users\ASUS R556L\Documents\Uni\SoSe 2015\SVP Chemie\Aggregatzustände, Schmelz- und Siedetemperaturen\Bilder\IMG_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R556L\Documents\Uni\SoSe 2015\SVP Chemie\Aggregatzustände, Schmelz- und Siedetemperaturen\Bilder\IMG_19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4586" cy="261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B715C9" w:rsidRPr="00B715C9" w:rsidRDefault="00B715C9" w:rsidP="00B715C9">
      <w:pPr>
        <w:pStyle w:val="Beschriftung"/>
        <w:jc w:val="center"/>
        <w:rPr>
          <w:sz w:val="22"/>
          <w:szCs w:val="22"/>
        </w:rPr>
      </w:pPr>
      <w:r w:rsidRPr="00B715C9">
        <w:rPr>
          <w:sz w:val="22"/>
          <w:szCs w:val="22"/>
        </w:rPr>
        <w:t xml:space="preserve">Abb. 1 - </w:t>
      </w:r>
      <w:r w:rsidRPr="00B715C9">
        <w:rPr>
          <w:noProof/>
          <w:sz w:val="22"/>
          <w:szCs w:val="22"/>
        </w:rPr>
        <w:t>Sublimation und Resublimation von Iod</w:t>
      </w:r>
    </w:p>
    <w:p w:rsidR="00B715C9" w:rsidRPr="00B715C9" w:rsidRDefault="00B715C9" w:rsidP="00B715C9">
      <w:pPr>
        <w:tabs>
          <w:tab w:val="left" w:pos="1701"/>
          <w:tab w:val="left" w:pos="1985"/>
        </w:tabs>
        <w:ind w:left="1980" w:hanging="1980"/>
      </w:pPr>
      <w:r w:rsidRPr="00B715C9">
        <w:t>Deutung:</w:t>
      </w:r>
      <w:r w:rsidRPr="00B715C9">
        <w:tab/>
      </w:r>
      <w:r w:rsidRPr="00B715C9">
        <w:tab/>
        <w:t xml:space="preserve">Durch das Erhitzen ändert Iod seinen Aggregatzustand von fest zu gasförmig, wobei es ein größeres  Volumen einnimmt. Am kalten Uhrglas </w:t>
      </w:r>
      <w:proofErr w:type="spellStart"/>
      <w:r w:rsidRPr="00B715C9">
        <w:t>resublimieren</w:t>
      </w:r>
      <w:proofErr w:type="spellEnd"/>
      <w:r w:rsidRPr="00B715C9">
        <w:t xml:space="preserve"> die </w:t>
      </w:r>
      <w:proofErr w:type="spellStart"/>
      <w:r w:rsidRPr="00B715C9">
        <w:t>Ioddämpfe</w:t>
      </w:r>
      <w:proofErr w:type="spellEnd"/>
      <w:r w:rsidRPr="00B715C9">
        <w:t xml:space="preserve"> wieder zu festen Kristallen. Das Volumen verringert sich hierbei.</w:t>
      </w:r>
    </w:p>
    <w:p w:rsidR="00B715C9" w:rsidRPr="00B715C9" w:rsidRDefault="00B715C9" w:rsidP="00B715C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B715C9">
        <w:t>Entsorgung:</w:t>
      </w:r>
      <w:r w:rsidRPr="00B715C9">
        <w:tab/>
      </w:r>
      <w:r w:rsidRPr="00B715C9">
        <w:tab/>
        <w:t xml:space="preserve">Nach vollständiger </w:t>
      </w:r>
      <w:proofErr w:type="spellStart"/>
      <w:r w:rsidRPr="00B715C9">
        <w:t>Resublimation</w:t>
      </w:r>
      <w:proofErr w:type="spellEnd"/>
      <w:r w:rsidRPr="00B715C9">
        <w:t xml:space="preserve"> des Iods kann dieses mit </w:t>
      </w:r>
      <w:proofErr w:type="spellStart"/>
      <w:r w:rsidRPr="00B715C9">
        <w:t>Natriumthiosulfat</w:t>
      </w:r>
      <w:proofErr w:type="spellEnd"/>
      <w:r w:rsidRPr="00B715C9">
        <w:t>-Lösung reduziert werden und nach Neutralisierung mit Natriumhydrogencarbonat im Abwasser entsorgt werden.</w:t>
      </w:r>
    </w:p>
    <w:p w:rsidR="00B715C9" w:rsidRPr="00B715C9" w:rsidRDefault="00B715C9" w:rsidP="00B715C9">
      <w:pPr>
        <w:spacing w:line="276" w:lineRule="auto"/>
      </w:pPr>
      <w:r w:rsidRPr="00B715C9">
        <w:t xml:space="preserve">Literatur: </w:t>
      </w:r>
      <w:r w:rsidRPr="00B715C9">
        <w:tab/>
        <w:t xml:space="preserve">           </w:t>
      </w:r>
      <w:proofErr w:type="spellStart"/>
      <w:r w:rsidRPr="00B715C9">
        <w:t>Northolz</w:t>
      </w:r>
      <w:proofErr w:type="spellEnd"/>
      <w:r w:rsidRPr="00B715C9">
        <w:t>, M., &amp; Herbst-Irmer, R. (2012). Skript zum anorganisch-</w:t>
      </w:r>
      <w:proofErr w:type="spellStart"/>
      <w:r w:rsidRPr="00B715C9">
        <w:t>chemi</w:t>
      </w:r>
      <w:proofErr w:type="spellEnd"/>
      <w:r w:rsidRPr="00B715C9">
        <w:tab/>
      </w:r>
      <w:r w:rsidRPr="00B715C9">
        <w:tab/>
        <w:t xml:space="preserve">            </w:t>
      </w:r>
      <w:proofErr w:type="spellStart"/>
      <w:r w:rsidRPr="00B715C9">
        <w:t>schen</w:t>
      </w:r>
      <w:proofErr w:type="spellEnd"/>
      <w:r w:rsidRPr="00B715C9">
        <w:t xml:space="preserve"> Grundpraktikum für Lehramtskandidaten. Göttingen: </w:t>
      </w:r>
      <w:proofErr w:type="spellStart"/>
      <w:r w:rsidRPr="00B715C9">
        <w:t>Universi</w:t>
      </w:r>
      <w:proofErr w:type="spellEnd"/>
      <w:r w:rsidRPr="00B715C9">
        <w:t xml:space="preserve">-tät </w:t>
      </w:r>
      <w:r w:rsidRPr="00B715C9">
        <w:tab/>
      </w:r>
      <w:r w:rsidRPr="00B715C9">
        <w:tab/>
        <w:t xml:space="preserve">           Göttingen.</w:t>
      </w:r>
    </w:p>
    <w:p w:rsidR="00B715C9" w:rsidRPr="00B715C9" w:rsidRDefault="00B715C9" w:rsidP="00B715C9">
      <w:pPr>
        <w:spacing w:line="276" w:lineRule="auto"/>
      </w:pPr>
      <w:r w:rsidRPr="00B715C9">
        <w:tab/>
      </w:r>
      <w:r w:rsidRPr="00B715C9">
        <w:tab/>
        <w:t xml:space="preserve">            C. </w:t>
      </w:r>
      <w:proofErr w:type="spellStart"/>
      <w:r w:rsidRPr="00B715C9">
        <w:t>Biesemann</w:t>
      </w:r>
      <w:proofErr w:type="spellEnd"/>
      <w:r w:rsidRPr="00B715C9">
        <w:t>, http://unterrichtsmaterialien-chemie.uni-goettin</w:t>
      </w:r>
      <w:r w:rsidRPr="00B715C9">
        <w:tab/>
      </w:r>
      <w:r w:rsidRPr="00B715C9">
        <w:tab/>
        <w:t xml:space="preserve">                           gen.de/material/5-6/V5-216.pdf, zuletzt aufgerufen am 30.07.2015</w:t>
      </w:r>
    </w:p>
    <w:p w:rsidR="00B715C9" w:rsidRPr="00B715C9" w:rsidRDefault="00B715C9" w:rsidP="00B715C9">
      <w:pPr>
        <w:tabs>
          <w:tab w:val="left" w:pos="1701"/>
          <w:tab w:val="left" w:pos="1985"/>
        </w:tabs>
        <w:ind w:left="1980" w:hanging="1980"/>
      </w:pPr>
    </w:p>
    <w:p w:rsidR="00B715C9" w:rsidRPr="00B715C9" w:rsidRDefault="00B715C9" w:rsidP="00B715C9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B715C9">
        <w:rPr>
          <w:noProof/>
          <w:lang w:eastAsia="de-DE"/>
        </w:rPr>
        <mc:AlternateContent>
          <mc:Choice Requires="wps">
            <w:drawing>
              <wp:inline distT="0" distB="0" distL="0" distR="0" wp14:anchorId="0982BC60" wp14:editId="77817022">
                <wp:extent cx="5873115" cy="1143000"/>
                <wp:effectExtent l="0" t="0" r="13335" b="1905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43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5C9" w:rsidRDefault="00B715C9" w:rsidP="00B715C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Aufgrund der giftigen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Ioddämpfe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sollte das Uhrglas erst nach vollständiger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Resublimation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des Iods weggenommen werden. </w:t>
                            </w:r>
                          </w:p>
                          <w:p w:rsidR="00B715C9" w:rsidRPr="002741C2" w:rsidRDefault="00B715C9" w:rsidP="00B715C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Vor Beginn des Versuchs sollte ein Becherglas mit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Natriumthiosulfatlösung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bereitgestellt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2BC60" id="Text Box 2" o:spid="_x0000_s1027" type="#_x0000_t202" style="width:462.4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hS7QIAADIGAAAOAAAAZHJzL2Uyb0RvYy54bWysVFtv0zAUfkfiP1h+75K06WXR0qntWoQ0&#10;LlKHeHZtp7Fw7GC7TQbiv3Nsr6WwBxCaIkU+vnznO5fv3Nz2jURHbqzQqsTZVYoRV1QzofYl/vSw&#10;Gcwwso4oRqRWvMSP3OLb+etXN11b8KGutWTcIABRtujaEtfOtUWSWFrzhtgr3XIFh5U2DXFgmn3C&#10;DOkAvZHJME0nSacNa42m3FrYvYuHeB7wq4pT96GqLHdIlhi4ufA34b/z/2R+Q4q9IW0t6BMN8h8s&#10;GiIUOD1D3RFH0MGIZ1CNoEZbXbkrqptEV5WgPMQA0WTpH9Fsa9LyEAskx7bnNNmXg6Xvjx8NEgxq&#10;B+lRpIEaPfDeoaXu0dCnp2ttAbe2LdxzPWzD1RCqbe81/WKR0quaqD1fGKO7mhMG9DL/Mrl4GnGs&#10;B9l17zQDN+TgdADqK9P43EE2EKADj8dzaTwVCpvj2XSUZWOMKJxlWT5K01C8hBSn562x7g3XDfKL&#10;EhuofYAnx3vrPB1SnK54b1ZLwTZCymD4fuMradCRQKdIF0OUhwa4xr0MPEafpIB9aKu4f6IRWtZD&#10;BE+/oUuFOmA9nML7v7kmlHLlhuHeC7n3Ud8RW0e+DFax7RvhQHtSNCWeXQTnS7hWLCjDESHjGrIn&#10;lSfPg6piSsHqHSzDPlQqdPz3xWacTvPRbDCdjkeDfLROB8vZZjVYrLLJZLperpbr7IcPMMuLWjDG&#10;1Tpg2pMAs/zfGvxpFETpnCV4JuhZ6QPEuK1Zh5jwXTEaXw8zDAbMAF8PX1JE5B6GF3UGI6PdZ+Hq&#10;oDzfhB7Dmv3u3Bqzif9Ce1+gh5pfOE6exRZv9JAqyOQpa0EhXhRRHq7f9VGLJ+HtNHsEyQCroAsY&#10;tLCotfmGUQdDq8T264EYjpF8q0B211me+ykXjHw8HYJhLk92lydEUYAqsYMMhOXKxcl4aI3Y1+Ap&#10;qkDpBUi1EkFEXtORFUTiDRhMIaanIeon36Udbv0a9fOfAAAA//8DAFBLAwQUAAYACAAAACEALCWL&#10;+NsAAAAFAQAADwAAAGRycy9kb3ducmV2LnhtbEyPwU7DMBBE70j8g7VI3KiTglCbxqkAqXdoKhVu&#10;23gbR7HXUey2ga/HcIHLSKsZzbwt15Oz4kxj6DwryGcZCOLG645bBbt6c7cAESKyRuuZFHxSgHV1&#10;fVViof2F3+i8ja1IJRwKVGBiHAopQ2PIYZj5gTh5Rz86jOkcW6lHvKRyZ+U8yx6lw47TgsGBXgw1&#10;/fbkFPR2/4wfeXufb3bv+9rQl+5fa6Vub6anFYhIU/wLww9+QocqMR38iXUQVkF6JP5q8pbzhyWI&#10;QwotsgxkVcr/9NU3AAAA//8DAFBLAQItABQABgAIAAAAIQC2gziS/gAAAOEBAAATAAAAAAAAAAAA&#10;AAAAAAAAAABbQ29udGVudF9UeXBlc10ueG1sUEsBAi0AFAAGAAgAAAAhADj9If/WAAAAlAEAAAsA&#10;AAAAAAAAAAAAAAAALwEAAF9yZWxzLy5yZWxzUEsBAi0AFAAGAAgAAAAhAGxt6FLtAgAAMgYAAA4A&#10;AAAAAAAAAAAAAAAALgIAAGRycy9lMm9Eb2MueG1sUEsBAi0AFAAGAAgAAAAhACwli/jbAAAABQEA&#10;AA8AAAAAAAAAAAAAAAAARwUAAGRycy9kb3ducmV2LnhtbFBLBQYAAAAABAAEAPMAAABPBgAAAAA=&#10;" fillcolor="white [3201]" strokecolor="#ed7d31 [3205]" strokeweight="1pt">
                <v:stroke dashstyle="dash"/>
                <v:shadow color="#868686"/>
                <v:textbox>
                  <w:txbxContent>
                    <w:p w:rsidR="00B715C9" w:rsidRDefault="00B715C9" w:rsidP="00B715C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Aufgrund der giftigen </w:t>
                      </w:r>
                      <w:proofErr w:type="spellStart"/>
                      <w:r>
                        <w:rPr>
                          <w:color w:val="auto"/>
                        </w:rPr>
                        <w:t>Ioddämpfe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sollte das Uhrglas erst nach vollständiger </w:t>
                      </w:r>
                      <w:proofErr w:type="spellStart"/>
                      <w:r>
                        <w:rPr>
                          <w:color w:val="auto"/>
                        </w:rPr>
                        <w:t>Resublimation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des Iods weggenommen werden. </w:t>
                      </w:r>
                    </w:p>
                    <w:p w:rsidR="00B715C9" w:rsidRPr="002741C2" w:rsidRDefault="00B715C9" w:rsidP="00B715C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Vor Beginn des Versuchs sollte ein Becherglas mit </w:t>
                      </w:r>
                      <w:proofErr w:type="spellStart"/>
                      <w:r>
                        <w:rPr>
                          <w:color w:val="auto"/>
                        </w:rPr>
                        <w:t>Natriumthiosulfatlösung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bereitgestellt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6050" w:rsidRPr="00B715C9" w:rsidRDefault="00B715C9" w:rsidP="00B715C9"/>
    <w:sectPr w:rsidR="002F6050" w:rsidRPr="00B715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C9"/>
    <w:rsid w:val="00AF24C5"/>
    <w:rsid w:val="00B715C9"/>
    <w:rsid w:val="00E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D5725-FDBE-4291-B8F2-A81641E7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5C9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15C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15C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15C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15C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15C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15C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15C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15C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15C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15C9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15C9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15C9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15C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15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15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15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15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15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715C9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R556L</dc:creator>
  <cp:keywords/>
  <dc:description/>
  <cp:lastModifiedBy>ASUS R556L</cp:lastModifiedBy>
  <cp:revision>1</cp:revision>
  <dcterms:created xsi:type="dcterms:W3CDTF">2015-08-26T13:47:00Z</dcterms:created>
  <dcterms:modified xsi:type="dcterms:W3CDTF">2015-08-26T13:48:00Z</dcterms:modified>
</cp:coreProperties>
</file>