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38" w:rsidRDefault="00293C38" w:rsidP="00293C38">
      <w:pPr>
        <w:pStyle w:val="berschrift1"/>
        <w:numPr>
          <w:ilvl w:val="0"/>
          <w:numId w:val="0"/>
        </w:numPr>
        <w:ind w:left="431" w:hanging="431"/>
      </w:pPr>
      <w:bookmarkStart w:id="0" w:name="_Toc338320195"/>
      <w:r>
        <w:rPr>
          <w:noProof/>
          <w:lang w:eastAsia="de-DE"/>
        </w:rPr>
        <mc:AlternateContent>
          <mc:Choice Requires="wps">
            <w:drawing>
              <wp:anchor distT="0" distB="0" distL="114300" distR="114300" simplePos="0" relativeHeight="251659264" behindDoc="0" locked="0" layoutInCell="1" allowOverlap="1" wp14:anchorId="153FF880" wp14:editId="522D0BA8">
                <wp:simplePos x="0" y="0"/>
                <wp:positionH relativeFrom="column">
                  <wp:posOffset>-635</wp:posOffset>
                </wp:positionH>
                <wp:positionV relativeFrom="paragraph">
                  <wp:posOffset>753745</wp:posOffset>
                </wp:positionV>
                <wp:extent cx="5873115" cy="1016635"/>
                <wp:effectExtent l="0" t="0" r="13335" b="12065"/>
                <wp:wrapSquare wrapText="bothSides"/>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663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3C38" w:rsidRDefault="00293C38" w:rsidP="00293C38">
                            <w:pPr>
                              <w:rPr>
                                <w:color w:val="auto"/>
                              </w:rPr>
                            </w:pPr>
                            <w:r>
                              <w:rPr>
                                <w:color w:val="auto"/>
                              </w:rPr>
                              <w:t>Dieser Demonstrationsversuch soll den SuS zeigen, welche Eigenschaften die Hauptbestandte</w:t>
                            </w:r>
                            <w:r>
                              <w:rPr>
                                <w:color w:val="auto"/>
                              </w:rPr>
                              <w:t>i</w:t>
                            </w:r>
                            <w:r>
                              <w:rPr>
                                <w:color w:val="auto"/>
                              </w:rPr>
                              <w:t>le der Luft, Stickstoff und Sauerstoff, aufweisen.  Den SuS muss vorher erklärt werden, dass die Luft eine Mischung darstellt, die aus mehreren Gasen zusammengesetzt ist. Zur Vereinfachung wird sich hierbei auf die beiden Hauptbestandteile beschränkt.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7" o:spid="_x0000_s1026" type="#_x0000_t202" style="position:absolute;left:0;text-align:left;margin-left:-.05pt;margin-top:59.35pt;width:462.45pt;height:8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MG7QIAACw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" fillcolor="white [3201]" strokecolor="#4bacc6 [3208]" strokeweight="1pt">
                <v:stroke dashstyle="dash"/>
                <v:shadow color="#868686"/>
                <v:textbox>
                  <w:txbxContent>
                    <w:p w:rsidR="00293C38" w:rsidRDefault="00293C38" w:rsidP="00293C38">
                      <w:pPr>
                        <w:rPr>
                          <w:color w:val="auto"/>
                        </w:rPr>
                      </w:pPr>
                      <w:r>
                        <w:rPr>
                          <w:color w:val="auto"/>
                        </w:rPr>
                        <w:t>Dieser Demonstrationsversuch soll den SuS zeigen, welche Eigenschaften die Hauptbestandte</w:t>
                      </w:r>
                      <w:r>
                        <w:rPr>
                          <w:color w:val="auto"/>
                        </w:rPr>
                        <w:t>i</w:t>
                      </w:r>
                      <w:r>
                        <w:rPr>
                          <w:color w:val="auto"/>
                        </w:rPr>
                        <w:t>le der Luft, Stickstoff und Sauerstoff, aufweisen.  Den SuS muss vorher erklärt werden, dass die Luft eine Mischung darstellt, die aus mehreren Gasen zusammengesetzt ist. Zur Vereinfachung wird sich hierbei auf die beiden Hauptbestandteile beschränkt.</w:t>
                      </w:r>
                    </w:p>
                  </w:txbxContent>
                </v:textbox>
                <w10:wrap type="square"/>
              </v:shape>
            </w:pict>
          </mc:Fallback>
        </mc:AlternateContent>
      </w:r>
      <w:r>
        <w:t>V 4 – Brennender Glimmspan in Sauerstoff und Stickstoff</w:t>
      </w:r>
      <w:bookmarkEnd w:id="0"/>
    </w:p>
    <w:p w:rsidR="00293C38" w:rsidRDefault="00293C38" w:rsidP="00293C38"/>
    <w:tbl>
      <w:tblPr>
        <w:tblStyle w:val="HelleSchattierung-Akzent11"/>
        <w:tblW w:w="9771" w:type="dxa"/>
        <w:tblLook w:val="04A0" w:firstRow="1" w:lastRow="0" w:firstColumn="1" w:lastColumn="0" w:noHBand="0" w:noVBand="1"/>
      </w:tblPr>
      <w:tblGrid>
        <w:gridCol w:w="2259"/>
        <w:gridCol w:w="1677"/>
        <w:gridCol w:w="2551"/>
        <w:gridCol w:w="3284"/>
      </w:tblGrid>
      <w:tr w:rsidR="00293C38" w:rsidTr="00293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3"/>
            <w:tcBorders>
              <w:left w:val="nil"/>
              <w:right w:val="nil"/>
            </w:tcBorders>
            <w:vAlign w:val="center"/>
            <w:hideMark/>
          </w:tcPr>
          <w:p w:rsidR="00293C38" w:rsidRDefault="00293C38">
            <w:pPr>
              <w:spacing w:after="0"/>
              <w:jc w:val="center"/>
              <w:rPr>
                <w:color w:val="1D1B11" w:themeColor="background2" w:themeShade="1A"/>
                <w:sz w:val="20"/>
              </w:rPr>
            </w:pPr>
            <w:r>
              <w:rPr>
                <w:sz w:val="20"/>
              </w:rPr>
              <w:t>Gefahrenstoffe</w:t>
            </w:r>
          </w:p>
        </w:tc>
        <w:tc>
          <w:tcPr>
            <w:tcW w:w="3284" w:type="dxa"/>
            <w:vMerge w:val="restart"/>
            <w:tcBorders>
              <w:top w:val="nil"/>
              <w:left w:val="nil"/>
              <w:bottom w:val="nil"/>
              <w:right w:val="nil"/>
            </w:tcBorders>
          </w:tcPr>
          <w:p w:rsidR="00293C38" w:rsidRDefault="00293C38">
            <w:pPr>
              <w:spacing w:after="0"/>
              <w:cnfStyle w:val="100000000000" w:firstRow="1" w:lastRow="0" w:firstColumn="0" w:lastColumn="0" w:oddVBand="0" w:evenVBand="0" w:oddHBand="0" w:evenHBand="0" w:firstRowFirstColumn="0" w:firstRowLastColumn="0" w:lastRowFirstColumn="0" w:lastRowLastColumn="0"/>
              <w:rPr>
                <w:noProof/>
                <w:color w:val="0000FF"/>
                <w:lang w:eastAsia="de-DE"/>
              </w:rPr>
            </w:pPr>
            <w:r>
              <w:rPr>
                <w:noProof/>
                <w:color w:val="1D1B11" w:themeColor="background2" w:themeShade="1A"/>
                <w:lang w:eastAsia="de-DE"/>
              </w:rPr>
              <w:drawing>
                <wp:anchor distT="0" distB="0" distL="114300" distR="114300" simplePos="0" relativeHeight="251660288" behindDoc="1" locked="0" layoutInCell="1" allowOverlap="1">
                  <wp:simplePos x="0" y="0"/>
                  <wp:positionH relativeFrom="column">
                    <wp:posOffset>210185</wp:posOffset>
                  </wp:positionH>
                  <wp:positionV relativeFrom="paragraph">
                    <wp:posOffset>1270</wp:posOffset>
                  </wp:positionV>
                  <wp:extent cx="670560" cy="672465"/>
                  <wp:effectExtent l="0" t="0" r="0" b="0"/>
                  <wp:wrapTight wrapText="bothSides">
                    <wp:wrapPolygon edited="0">
                      <wp:start x="9205" y="0"/>
                      <wp:lineTo x="0" y="9790"/>
                      <wp:lineTo x="0" y="11626"/>
                      <wp:lineTo x="9205" y="20805"/>
                      <wp:lineTo x="11659" y="20805"/>
                      <wp:lineTo x="20864" y="11626"/>
                      <wp:lineTo x="20864" y="9790"/>
                      <wp:lineTo x="11659" y="0"/>
                      <wp:lineTo x="9205" y="0"/>
                    </wp:wrapPolygon>
                  </wp:wrapTight>
                  <wp:docPr id="16" name="Grafik 16" descr="Komprimiertes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4" descr="Komprimiertes G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672465"/>
                          </a:xfrm>
                          <a:prstGeom prst="rect">
                            <a:avLst/>
                          </a:prstGeom>
                          <a:noFill/>
                        </pic:spPr>
                      </pic:pic>
                    </a:graphicData>
                  </a:graphic>
                  <wp14:sizeRelH relativeFrom="page">
                    <wp14:pctWidth>0</wp14:pctWidth>
                  </wp14:sizeRelH>
                  <wp14:sizeRelV relativeFrom="page">
                    <wp14:pctHeight>0</wp14:pctHeight>
                  </wp14:sizeRelV>
                </wp:anchor>
              </w:drawing>
            </w:r>
          </w:p>
          <w:p w:rsidR="00293C38" w:rsidRDefault="00293C38">
            <w:pPr>
              <w:spacing w:after="0"/>
              <w:cnfStyle w:val="100000000000" w:firstRow="1" w:lastRow="0" w:firstColumn="0" w:lastColumn="0" w:oddVBand="0" w:evenVBand="0" w:oddHBand="0" w:evenHBand="0" w:firstRowFirstColumn="0" w:firstRowLastColumn="0" w:lastRowFirstColumn="0" w:lastRowLastColumn="0"/>
              <w:rPr>
                <w:noProof/>
                <w:color w:val="0000FF"/>
                <w:lang w:eastAsia="de-DE"/>
              </w:rPr>
            </w:pPr>
          </w:p>
          <w:p w:rsidR="00293C38" w:rsidRDefault="00293C38">
            <w:pPr>
              <w:spacing w:after="0"/>
              <w:cnfStyle w:val="100000000000" w:firstRow="1" w:lastRow="0" w:firstColumn="0" w:lastColumn="0" w:oddVBand="0" w:evenVBand="0" w:oddHBand="0" w:evenHBand="0" w:firstRowFirstColumn="0" w:firstRowLastColumn="0" w:lastRowFirstColumn="0" w:lastRowLastColumn="0"/>
              <w:rPr>
                <w:noProof/>
                <w:color w:val="0000FF"/>
                <w:lang w:eastAsia="de-DE"/>
              </w:rPr>
            </w:pPr>
          </w:p>
          <w:p w:rsidR="00293C38" w:rsidRDefault="00293C38">
            <w:pPr>
              <w:spacing w:after="0"/>
              <w:cnfStyle w:val="100000000000" w:firstRow="1" w:lastRow="0" w:firstColumn="0" w:lastColumn="0" w:oddVBand="0" w:evenVBand="0" w:oddHBand="0" w:evenHBand="0" w:firstRowFirstColumn="0" w:firstRowLastColumn="0" w:lastRowFirstColumn="0" w:lastRowLastColumn="0"/>
              <w:rPr>
                <w:noProof/>
                <w:color w:val="0000FF"/>
                <w:lang w:eastAsia="de-DE"/>
              </w:rPr>
            </w:pPr>
            <w:r>
              <w:rPr>
                <w:noProof/>
                <w:color w:val="1D1B11" w:themeColor="background2" w:themeShade="1A"/>
                <w:lang w:eastAsia="de-DE"/>
              </w:rPr>
              <w:drawing>
                <wp:anchor distT="0" distB="0" distL="114300" distR="114300" simplePos="0" relativeHeight="251661312" behindDoc="1" locked="0" layoutInCell="1" allowOverlap="1">
                  <wp:simplePos x="0" y="0"/>
                  <wp:positionH relativeFrom="column">
                    <wp:posOffset>882650</wp:posOffset>
                  </wp:positionH>
                  <wp:positionV relativeFrom="paragraph">
                    <wp:posOffset>-735965</wp:posOffset>
                  </wp:positionV>
                  <wp:extent cx="700405" cy="699135"/>
                  <wp:effectExtent l="0" t="0" r="4445" b="5715"/>
                  <wp:wrapTight wrapText="bothSides">
                    <wp:wrapPolygon edited="0">
                      <wp:start x="9400" y="0"/>
                      <wp:lineTo x="0" y="9417"/>
                      <wp:lineTo x="0" y="11771"/>
                      <wp:lineTo x="9400" y="21188"/>
                      <wp:lineTo x="11750" y="21188"/>
                      <wp:lineTo x="21150" y="11771"/>
                      <wp:lineTo x="21150" y="9417"/>
                      <wp:lineTo x="11750" y="0"/>
                      <wp:lineTo x="9400" y="0"/>
                    </wp:wrapPolygon>
                  </wp:wrapTight>
                  <wp:docPr id="15" name="Grafik 15" descr="Oxidie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5" descr="Oxidiere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699135"/>
                          </a:xfrm>
                          <a:prstGeom prst="rect">
                            <a:avLst/>
                          </a:prstGeom>
                          <a:noFill/>
                        </pic:spPr>
                      </pic:pic>
                    </a:graphicData>
                  </a:graphic>
                  <wp14:sizeRelH relativeFrom="page">
                    <wp14:pctWidth>0</wp14:pctWidth>
                  </wp14:sizeRelH>
                  <wp14:sizeRelV relativeFrom="page">
                    <wp14:pctHeight>0</wp14:pctHeight>
                  </wp14:sizeRelV>
                </wp:anchor>
              </w:drawing>
            </w:r>
          </w:p>
        </w:tc>
      </w:tr>
      <w:tr w:rsidR="00293C38" w:rsidTr="00293C38">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259" w:type="dxa"/>
            <w:tcBorders>
              <w:top w:val="nil"/>
              <w:left w:val="nil"/>
              <w:bottom w:val="nil"/>
              <w:right w:val="nil"/>
            </w:tcBorders>
            <w:vAlign w:val="center"/>
            <w:hideMark/>
          </w:tcPr>
          <w:p w:rsidR="00293C38" w:rsidRDefault="00293C38">
            <w:pPr>
              <w:spacing w:after="0" w:line="276" w:lineRule="auto"/>
              <w:ind w:right="-180"/>
              <w:jc w:val="center"/>
              <w:rPr>
                <w:b w:val="0"/>
                <w:color w:val="1D1B11" w:themeColor="background2" w:themeShade="1A"/>
                <w:sz w:val="20"/>
              </w:rPr>
            </w:pPr>
            <w:r>
              <w:rPr>
                <w:b w:val="0"/>
                <w:sz w:val="20"/>
              </w:rPr>
              <w:t>Sauerstoff</w:t>
            </w:r>
          </w:p>
        </w:tc>
        <w:tc>
          <w:tcPr>
            <w:tcW w:w="1677" w:type="dxa"/>
            <w:tcBorders>
              <w:top w:val="nil"/>
              <w:left w:val="nil"/>
              <w:bottom w:val="nil"/>
              <w:right w:val="nil"/>
            </w:tcBorders>
            <w:vAlign w:val="center"/>
            <w:hideMark/>
          </w:tcPr>
          <w:p w:rsidR="00293C38" w:rsidRDefault="00293C38">
            <w:pPr>
              <w:spacing w:after="0" w:line="276" w:lineRule="auto"/>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H: 270-280</w:t>
            </w:r>
          </w:p>
        </w:tc>
        <w:tc>
          <w:tcPr>
            <w:tcW w:w="2551" w:type="dxa"/>
            <w:tcBorders>
              <w:top w:val="nil"/>
              <w:left w:val="nil"/>
              <w:bottom w:val="nil"/>
              <w:right w:val="nil"/>
            </w:tcBorders>
            <w:vAlign w:val="center"/>
            <w:hideMark/>
          </w:tcPr>
          <w:p w:rsidR="00293C38" w:rsidRDefault="00293C38">
            <w:pPr>
              <w:spacing w:after="0" w:line="276" w:lineRule="auto"/>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 xml:space="preserve">P: </w:t>
            </w:r>
            <w:r>
              <w:t>244</w:t>
            </w:r>
            <w:r>
              <w:rPr>
                <w:color w:val="auto"/>
                <w:sz w:val="20"/>
              </w:rPr>
              <w:t>-​</w:t>
            </w:r>
            <w:hyperlink r:id="rId11" w:anchor="P-S.C3.A4tze" w:tooltip="H- und P-Sätze" w:history="1">
              <w:r>
                <w:rPr>
                  <w:rStyle w:val="Hyperlink"/>
                  <w:color w:val="auto"/>
                  <w:sz w:val="20"/>
                </w:rPr>
                <w:t>220-370</w:t>
              </w:r>
            </w:hyperlink>
            <w:r>
              <w:rPr>
                <w:color w:val="auto"/>
                <w:sz w:val="20"/>
              </w:rPr>
              <w:t>+376-403</w:t>
            </w:r>
          </w:p>
        </w:tc>
        <w:tc>
          <w:tcPr>
            <w:tcW w:w="0" w:type="auto"/>
            <w:vMerge/>
            <w:tcBorders>
              <w:top w:val="nil"/>
              <w:left w:val="nil"/>
              <w:bottom w:val="nil"/>
              <w:right w:val="nil"/>
            </w:tcBorders>
            <w:vAlign w:val="center"/>
            <w:hideMark/>
          </w:tcPr>
          <w:p w:rsidR="00293C38" w:rsidRDefault="00293C38">
            <w:pPr>
              <w:spacing w:after="0" w:line="240" w:lineRule="auto"/>
              <w:jc w:val="left"/>
              <w:cnfStyle w:val="000000100000" w:firstRow="0" w:lastRow="0" w:firstColumn="0" w:lastColumn="0" w:oddVBand="0" w:evenVBand="0" w:oddHBand="1" w:evenHBand="0" w:firstRowFirstColumn="0" w:firstRowLastColumn="0" w:lastRowFirstColumn="0" w:lastRowLastColumn="0"/>
              <w:rPr>
                <w:b/>
                <w:bCs/>
                <w:noProof/>
                <w:color w:val="0000FF"/>
                <w:lang w:eastAsia="de-DE"/>
              </w:rPr>
            </w:pPr>
          </w:p>
        </w:tc>
      </w:tr>
      <w:tr w:rsidR="00293C38" w:rsidTr="00293C38">
        <w:tc>
          <w:tcPr>
            <w:cnfStyle w:val="001000000000" w:firstRow="0" w:lastRow="0" w:firstColumn="1" w:lastColumn="0" w:oddVBand="0" w:evenVBand="0" w:oddHBand="0" w:evenHBand="0" w:firstRowFirstColumn="0" w:firstRowLastColumn="0" w:lastRowFirstColumn="0" w:lastRowLastColumn="0"/>
            <w:tcW w:w="2259" w:type="dxa"/>
            <w:tcBorders>
              <w:top w:val="nil"/>
              <w:left w:val="nil"/>
              <w:bottom w:val="single" w:sz="8" w:space="0" w:color="4F81BD" w:themeColor="accent1"/>
              <w:right w:val="nil"/>
            </w:tcBorders>
            <w:vAlign w:val="center"/>
            <w:hideMark/>
          </w:tcPr>
          <w:p w:rsidR="00293C38" w:rsidRDefault="00293C38">
            <w:pPr>
              <w:spacing w:after="0" w:line="276" w:lineRule="auto"/>
              <w:ind w:right="-180"/>
              <w:jc w:val="center"/>
              <w:rPr>
                <w:b w:val="0"/>
                <w:color w:val="auto"/>
                <w:sz w:val="20"/>
                <w:szCs w:val="20"/>
              </w:rPr>
            </w:pPr>
            <w:r>
              <w:rPr>
                <w:b w:val="0"/>
                <w:color w:val="auto"/>
                <w:sz w:val="20"/>
                <w:szCs w:val="20"/>
              </w:rPr>
              <w:t>Stickstoff</w:t>
            </w:r>
          </w:p>
        </w:tc>
        <w:tc>
          <w:tcPr>
            <w:tcW w:w="1677" w:type="dxa"/>
            <w:tcBorders>
              <w:top w:val="nil"/>
              <w:left w:val="nil"/>
              <w:bottom w:val="single" w:sz="8" w:space="0" w:color="4F81BD" w:themeColor="accent1"/>
              <w:right w:val="nil"/>
            </w:tcBorders>
            <w:vAlign w:val="center"/>
            <w:hideMark/>
          </w:tcPr>
          <w:p w:rsidR="00293C38" w:rsidRDefault="00293C38">
            <w:pPr>
              <w:spacing w:after="0" w:line="276" w:lineRule="auto"/>
              <w:ind w:hanging="44"/>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H: </w:t>
            </w:r>
            <w:r>
              <w:t>280</w:t>
            </w:r>
          </w:p>
        </w:tc>
        <w:tc>
          <w:tcPr>
            <w:tcW w:w="2551" w:type="dxa"/>
            <w:tcBorders>
              <w:top w:val="nil"/>
              <w:left w:val="nil"/>
              <w:bottom w:val="single" w:sz="8" w:space="0" w:color="4F81BD" w:themeColor="accent1"/>
              <w:right w:val="nil"/>
            </w:tcBorders>
            <w:vAlign w:val="center"/>
            <w:hideMark/>
          </w:tcPr>
          <w:p w:rsidR="00293C38" w:rsidRDefault="00293C38">
            <w:pPr>
              <w:spacing w:after="0" w:line="276" w:lineRule="auto"/>
              <w:ind w:hanging="44"/>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P: </w:t>
            </w:r>
            <w:r>
              <w:t>403</w:t>
            </w:r>
          </w:p>
        </w:tc>
        <w:tc>
          <w:tcPr>
            <w:tcW w:w="0" w:type="auto"/>
            <w:vMerge/>
            <w:tcBorders>
              <w:top w:val="nil"/>
              <w:left w:val="nil"/>
              <w:bottom w:val="nil"/>
              <w:right w:val="nil"/>
            </w:tcBorders>
            <w:vAlign w:val="center"/>
            <w:hideMark/>
          </w:tcPr>
          <w:p w:rsidR="00293C38" w:rsidRDefault="00293C38">
            <w:pPr>
              <w:spacing w:after="0" w:line="240" w:lineRule="auto"/>
              <w:jc w:val="left"/>
              <w:cnfStyle w:val="000000000000" w:firstRow="0" w:lastRow="0" w:firstColumn="0" w:lastColumn="0" w:oddVBand="0" w:evenVBand="0" w:oddHBand="0" w:evenHBand="0" w:firstRowFirstColumn="0" w:firstRowLastColumn="0" w:lastRowFirstColumn="0" w:lastRowLastColumn="0"/>
              <w:rPr>
                <w:b/>
                <w:bCs/>
                <w:noProof/>
                <w:color w:val="0000FF"/>
                <w:lang w:eastAsia="de-DE"/>
              </w:rPr>
            </w:pPr>
          </w:p>
        </w:tc>
      </w:tr>
    </w:tbl>
    <w:p w:rsidR="00293C38" w:rsidRDefault="00293C38" w:rsidP="00293C38">
      <w:pPr>
        <w:tabs>
          <w:tab w:val="left" w:pos="1701"/>
          <w:tab w:val="left" w:pos="1985"/>
        </w:tabs>
        <w:ind w:left="1980" w:hanging="1980"/>
        <w:rPr>
          <w:rFonts w:cstheme="minorBidi"/>
          <w:color w:val="1D1B11" w:themeColor="background2" w:themeShade="1A"/>
        </w:rPr>
      </w:pPr>
    </w:p>
    <w:p w:rsidR="00293C38" w:rsidRDefault="00293C38" w:rsidP="00293C38">
      <w:pPr>
        <w:tabs>
          <w:tab w:val="left" w:pos="1701"/>
          <w:tab w:val="left" w:pos="1985"/>
        </w:tabs>
        <w:ind w:left="1980" w:hanging="1980"/>
      </w:pPr>
      <w:r>
        <w:t xml:space="preserve">Materialien: </w:t>
      </w:r>
      <w:r>
        <w:tab/>
      </w:r>
      <w:r>
        <w:tab/>
        <w:t>2 Reagenzgläser, 1 Stativ mit Halterung, 1 Reagenzglasständer, 1 Glim</w:t>
      </w:r>
      <w:r>
        <w:t>m</w:t>
      </w:r>
      <w:r>
        <w:t>span, Entzündungsquelle (</w:t>
      </w:r>
      <w:proofErr w:type="spellStart"/>
      <w:r>
        <w:t>z.B</w:t>
      </w:r>
      <w:proofErr w:type="spellEnd"/>
      <w:r>
        <w:t>. Feuerzeug)</w:t>
      </w:r>
    </w:p>
    <w:p w:rsidR="00293C38" w:rsidRDefault="00293C38" w:rsidP="00293C38">
      <w:pPr>
        <w:tabs>
          <w:tab w:val="left" w:pos="1701"/>
          <w:tab w:val="left" w:pos="1985"/>
        </w:tabs>
        <w:ind w:left="1980" w:hanging="1980"/>
      </w:pPr>
      <w:r>
        <w:t>Chemikalien:</w:t>
      </w:r>
      <w:r>
        <w:tab/>
      </w:r>
      <w:r>
        <w:tab/>
        <w:t>Sauerstoff, Stickstoff</w:t>
      </w:r>
    </w:p>
    <w:p w:rsidR="00293C38" w:rsidRDefault="00293C38" w:rsidP="00293C38">
      <w:pPr>
        <w:tabs>
          <w:tab w:val="left" w:pos="1701"/>
          <w:tab w:val="left" w:pos="1985"/>
        </w:tabs>
        <w:ind w:left="1980" w:hanging="1980"/>
      </w:pPr>
      <w:r>
        <w:t xml:space="preserve">Durchführung: </w:t>
      </w:r>
      <w:r>
        <w:tab/>
      </w:r>
      <w:r>
        <w:tab/>
      </w:r>
      <w:r>
        <w:tab/>
        <w:t>Zuerst werden die Reagenzgläser bereitgestellt. Das Reagenzglas für Stic</w:t>
      </w:r>
      <w:r>
        <w:t>k</w:t>
      </w:r>
      <w:r>
        <w:t>stoff wird kopfüber in das Stativ eingespannt, das für Sauerstoff in den R</w:t>
      </w:r>
      <w:r>
        <w:t>e</w:t>
      </w:r>
      <w:r>
        <w:t xml:space="preserve">agenzglasständer </w:t>
      </w:r>
      <w:proofErr w:type="spellStart"/>
      <w:r>
        <w:t>gestellt.Dann</w:t>
      </w:r>
      <w:proofErr w:type="spellEnd"/>
      <w:r>
        <w:t xml:space="preserve"> wird das Reagenzglas mit Sauerstoff b</w:t>
      </w:r>
      <w:r>
        <w:t>e</w:t>
      </w:r>
      <w:r>
        <w:t>füllt. Der Glimmspan wird entzündet, zum Glimmen gebracht und in das Reagenzglas mit Sauerstoff hineingehalten. Danach wird das andere Re</w:t>
      </w:r>
      <w:r>
        <w:t>a</w:t>
      </w:r>
      <w:r>
        <w:t>genzglas mit Stickstoff befüllt. Der Glimmspan wird erneut zum Glimmen gebracht und in das Reagenzglas mit Stickstoff gehalten.</w:t>
      </w:r>
    </w:p>
    <w:p w:rsidR="00293C38" w:rsidRDefault="00293C38" w:rsidP="00293C38">
      <w:pPr>
        <w:tabs>
          <w:tab w:val="left" w:pos="1701"/>
          <w:tab w:val="left" w:pos="1985"/>
        </w:tabs>
        <w:ind w:left="1980" w:hanging="1980"/>
      </w:pPr>
      <w:r>
        <w:t>Beobachtung:</w:t>
      </w:r>
      <w:r>
        <w:tab/>
      </w:r>
      <w:r>
        <w:tab/>
      </w:r>
      <w:r>
        <w:tab/>
        <w:t>Der Glimmspann leuchtet deutlich und hell im Reagenzglas mit Sauerstoff auf. Im Reagenzglas mit Stickstoff erlischt das Glimmen.</w:t>
      </w:r>
    </w:p>
    <w:p w:rsidR="00293C38" w:rsidRDefault="00293C38" w:rsidP="00293C38">
      <w:pPr>
        <w:keepNext/>
        <w:tabs>
          <w:tab w:val="left" w:pos="1701"/>
          <w:tab w:val="left" w:pos="1985"/>
        </w:tabs>
        <w:ind w:left="1980" w:hanging="1980"/>
      </w:pPr>
      <w:bookmarkStart w:id="1" w:name="_GoBack"/>
      <w:r>
        <w:rPr>
          <w:noProof/>
          <w:lang w:eastAsia="de-DE"/>
        </w:rPr>
        <w:lastRenderedPageBreak/>
        <w:drawing>
          <wp:inline distT="0" distB="0" distL="0" distR="0">
            <wp:extent cx="5650230" cy="2406650"/>
            <wp:effectExtent l="0" t="0" r="7620" b="0"/>
            <wp:docPr id="11" name="Grafik 11" descr="Glimmspan N2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Glimmspan N2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0230" cy="2406650"/>
                    </a:xfrm>
                    <a:prstGeom prst="rect">
                      <a:avLst/>
                    </a:prstGeom>
                    <a:noFill/>
                    <a:ln>
                      <a:noFill/>
                    </a:ln>
                  </pic:spPr>
                </pic:pic>
              </a:graphicData>
            </a:graphic>
          </wp:inline>
        </w:drawing>
      </w:r>
      <w:bookmarkEnd w:id="1"/>
    </w:p>
    <w:p w:rsidR="00293C38" w:rsidRDefault="00293C38" w:rsidP="00293C38">
      <w:pPr>
        <w:pStyle w:val="Beschriftung"/>
        <w:jc w:val="left"/>
        <w:rPr>
          <w:sz w:val="16"/>
        </w:rPr>
      </w:pPr>
      <w:r>
        <w:t xml:space="preserve">Abb. 4: </w:t>
      </w:r>
      <w:r>
        <w:rPr>
          <w:noProof/>
        </w:rPr>
        <w:t>Glimmspan in O</w:t>
      </w:r>
      <w:r>
        <w:rPr>
          <w:noProof/>
          <w:vertAlign w:val="subscript"/>
        </w:rPr>
        <w:t>2</w:t>
      </w:r>
      <w:r>
        <w:rPr>
          <w:noProof/>
          <w:sz w:val="16"/>
        </w:rPr>
        <w:t xml:space="preserve"> (links) und in N</w:t>
      </w:r>
      <w:r>
        <w:rPr>
          <w:noProof/>
          <w:sz w:val="16"/>
          <w:vertAlign w:val="subscript"/>
        </w:rPr>
        <w:t>2</w:t>
      </w:r>
      <w:r>
        <w:rPr>
          <w:noProof/>
          <w:sz w:val="16"/>
        </w:rPr>
        <w:t xml:space="preserve"> (rechts)</w:t>
      </w:r>
    </w:p>
    <w:p w:rsidR="00293C38" w:rsidRDefault="00293C38" w:rsidP="00293C38">
      <w:pPr>
        <w:tabs>
          <w:tab w:val="left" w:pos="1701"/>
          <w:tab w:val="left" w:pos="1985"/>
        </w:tabs>
        <w:ind w:left="1980" w:hanging="1980"/>
      </w:pPr>
      <w:r>
        <w:t>Deutung:</w:t>
      </w:r>
      <w:r>
        <w:tab/>
      </w:r>
      <w:r>
        <w:tab/>
      </w:r>
      <w:r>
        <w:tab/>
        <w:t>Sauerstoff ist ein brandförderndes Gas, das der Glut den nötigen Sauerstoff für die Verbrennung liefert. Stickstoff wiederum erstickt die Flamme, es ist zu wenig Sauerstoff vorhanden damit der Span weiter glimmen kann.</w:t>
      </w:r>
    </w:p>
    <w:p w:rsidR="00293C38" w:rsidRDefault="00293C38" w:rsidP="00293C38">
      <w:pPr>
        <w:tabs>
          <w:tab w:val="left" w:pos="1701"/>
          <w:tab w:val="left" w:pos="1985"/>
        </w:tabs>
        <w:ind w:left="1980" w:hanging="1980"/>
      </w:pPr>
      <w:r>
        <w:t>Literatur:</w:t>
      </w:r>
      <w:r>
        <w:tab/>
      </w:r>
      <w:r>
        <w:tab/>
        <w:t>-</w:t>
      </w:r>
    </w:p>
    <w:p w:rsidR="00293C38" w:rsidRDefault="00293C38" w:rsidP="00293C38">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1868805"/>
                <wp:effectExtent l="9525" t="9525" r="13335" b="7620"/>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6880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3C38" w:rsidRDefault="00293C38" w:rsidP="00293C38">
                            <w:pPr>
                              <w:rPr>
                                <w:color w:val="auto"/>
                              </w:rPr>
                            </w:pPr>
                            <w:r>
                              <w:rPr>
                                <w:b/>
                                <w:color w:val="auto"/>
                              </w:rPr>
                              <w:t xml:space="preserve">Anmerkungen: </w:t>
                            </w:r>
                            <w:r>
                              <w:rPr>
                                <w:color w:val="auto"/>
                              </w:rPr>
                              <w:t>Für die SuS muss die Deutung des Versuchs didaktisch reduziert werden, da in der 5ten und 6ten Klasse das Thema Verbrennung noch nicht unbedingt behandelt worden ist. Eine Reduzierung in die Richtung, dass der Sauerstoff in Luft zur Atmung notwendig ist, auch für Kerzen, wäre eine Möglichkeit. Daran anschließend ließe sich der folgende Versuch durc</w:t>
                            </w:r>
                            <w:r>
                              <w:rPr>
                                <w:color w:val="auto"/>
                              </w:rPr>
                              <w:t>h</w:t>
                            </w:r>
                            <w:r>
                              <w:rPr>
                                <w:color w:val="auto"/>
                              </w:rPr>
                              <w:t>führen.</w:t>
                            </w:r>
                          </w:p>
                          <w:p w:rsidR="00293C38" w:rsidRDefault="00293C38" w:rsidP="00293C38">
                            <w:pPr>
                              <w:rPr>
                                <w:color w:val="auto"/>
                              </w:rPr>
                            </w:pPr>
                            <w:r>
                              <w:rPr>
                                <w:b/>
                                <w:color w:val="auto"/>
                              </w:rPr>
                              <w:t>Didaktischer Hinweis:</w:t>
                            </w:r>
                            <w:r>
                              <w:rPr>
                                <w:color w:val="auto"/>
                              </w:rPr>
                              <w:t xml:space="preserve"> Mit dem Versuch machen die SuS erste Erfahrungen mit Nachweisr</w:t>
                            </w:r>
                            <w:r>
                              <w:rPr>
                                <w:color w:val="auto"/>
                              </w:rPr>
                              <w:t>e</w:t>
                            </w:r>
                            <w:r>
                              <w:rPr>
                                <w:color w:val="auto"/>
                              </w:rPr>
                              <w:t>aktionen, die später weiter vertieft werden können.</w:t>
                            </w:r>
                          </w:p>
                        </w:txbxContent>
                      </wps:txbx>
                      <wps:bodyPr rot="0" vert="horz" wrap="square" lIns="91440" tIns="45720" rIns="91440" bIns="45720" anchor="t" anchorCtr="0" upright="1">
                        <a:noAutofit/>
                      </wps:bodyPr>
                    </wps:wsp>
                  </a:graphicData>
                </a:graphic>
              </wp:inline>
            </w:drawing>
          </mc:Choice>
          <mc:Fallback>
            <w:pict>
              <v:shape id="Textfeld 13" o:spid="_x0000_s1027" type="#_x0000_t202" style="width:462.45pt;height:14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" fillcolor="white [3201]" strokecolor="#c0504d [3205]" strokeweight="1pt">
                <v:stroke dashstyle="dash"/>
                <v:shadow color="#868686"/>
                <v:textbox>
                  <w:txbxContent>
                    <w:p w:rsidR="00293C38" w:rsidRDefault="00293C38" w:rsidP="00293C38">
                      <w:pPr>
                        <w:rPr>
                          <w:color w:val="auto"/>
                        </w:rPr>
                      </w:pPr>
                      <w:r>
                        <w:rPr>
                          <w:b/>
                          <w:color w:val="auto"/>
                        </w:rPr>
                        <w:t xml:space="preserve">Anmerkungen: </w:t>
                      </w:r>
                      <w:r>
                        <w:rPr>
                          <w:color w:val="auto"/>
                        </w:rPr>
                        <w:t>Für die SuS muss die Deutung des Versuchs didaktisch reduziert werden, da in der 5ten und 6ten Klasse das Thema Verbrennung noch nicht unbedingt behandelt worden ist. Eine Reduzierung in die Richtung, dass der Sauerstoff in Luft zur Atmung notwendig ist, auch für Kerzen, wäre eine Möglichkeit. Daran anschließend ließe sich der folgende Versuch durc</w:t>
                      </w:r>
                      <w:r>
                        <w:rPr>
                          <w:color w:val="auto"/>
                        </w:rPr>
                        <w:t>h</w:t>
                      </w:r>
                      <w:r>
                        <w:rPr>
                          <w:color w:val="auto"/>
                        </w:rPr>
                        <w:t>führen.</w:t>
                      </w:r>
                    </w:p>
                    <w:p w:rsidR="00293C38" w:rsidRDefault="00293C38" w:rsidP="00293C38">
                      <w:pPr>
                        <w:rPr>
                          <w:color w:val="auto"/>
                        </w:rPr>
                      </w:pPr>
                      <w:r>
                        <w:rPr>
                          <w:b/>
                          <w:color w:val="auto"/>
                        </w:rPr>
                        <w:t>Didaktischer Hinweis:</w:t>
                      </w:r>
                      <w:r>
                        <w:rPr>
                          <w:color w:val="auto"/>
                        </w:rPr>
                        <w:t xml:space="preserve"> Mit dem Versuch machen die SuS erste Erfahrungen mit Nachweisr</w:t>
                      </w:r>
                      <w:r>
                        <w:rPr>
                          <w:color w:val="auto"/>
                        </w:rPr>
                        <w:t>e</w:t>
                      </w:r>
                      <w:r>
                        <w:rPr>
                          <w:color w:val="auto"/>
                        </w:rPr>
                        <w:t>aktionen, die später weiter vertieft werden können.</w:t>
                      </w:r>
                    </w:p>
                  </w:txbxContent>
                </v:textbox>
                <w10:anchorlock/>
              </v:shape>
            </w:pict>
          </mc:Fallback>
        </mc:AlternateContent>
      </w:r>
    </w:p>
    <w:p w:rsidR="00BE6DD9" w:rsidRPr="00293C38" w:rsidRDefault="00BE6DD9" w:rsidP="00293C38"/>
    <w:sectPr w:rsidR="00BE6DD9" w:rsidRPr="00293C38" w:rsidSect="00105256">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F59" w:rsidRDefault="00185F59" w:rsidP="009524CC">
      <w:pPr>
        <w:spacing w:after="0"/>
      </w:pPr>
      <w:r>
        <w:separator/>
      </w:r>
    </w:p>
  </w:endnote>
  <w:endnote w:type="continuationSeparator" w:id="0">
    <w:p w:rsidR="00185F59" w:rsidRDefault="00185F59"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F59" w:rsidRDefault="00185F59" w:rsidP="009524CC">
      <w:pPr>
        <w:spacing w:after="0"/>
      </w:pPr>
      <w:r>
        <w:separator/>
      </w:r>
    </w:p>
  </w:footnote>
  <w:footnote w:type="continuationSeparator" w:id="0">
    <w:p w:rsidR="00185F59" w:rsidRDefault="00185F59"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F108FC" w:rsidRPr="00F108FC">
            <w:rPr>
              <w:b/>
              <w:bCs/>
              <w:noProof/>
              <w:sz w:val="20"/>
              <w:szCs w:val="20"/>
            </w:rPr>
            <w:t>V 4 – Brennender Glimmspan in Sauerstoff und Stickstoff</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F108FC">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59"/>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3C38"/>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864"/>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57A0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5D7A"/>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8FC"/>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2603">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883374847">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87310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wikipedia.org/wiki/H-_und_P-S%C3%A4tz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9D75-E935-4FB5-ABD9-CDEBB40A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1179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2013-07-03T09:06:00Z</dcterms:created>
  <dcterms:modified xsi:type="dcterms:W3CDTF">2013-07-03T09:06:00Z</dcterms:modified>
</cp:coreProperties>
</file>