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DB" w:rsidRPr="003467DB" w:rsidRDefault="003467DB" w:rsidP="003467DB">
      <w:pPr>
        <w:rPr>
          <w:b/>
        </w:rPr>
      </w:pPr>
      <w:r w:rsidRPr="003467DB">
        <w:rPr>
          <w:b/>
        </w:rPr>
        <w:t>Kann ein Fettbrand mit Wasser gelöscht werden?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467DB" w:rsidRPr="009C5E28" w:rsidTr="0054579A">
        <w:tc>
          <w:tcPr>
            <w:tcW w:w="9322" w:type="dxa"/>
            <w:gridSpan w:val="9"/>
            <w:shd w:val="clear" w:color="auto" w:fill="4F81BD"/>
            <w:vAlign w:val="center"/>
          </w:tcPr>
          <w:p w:rsidR="003467DB" w:rsidRPr="00F31EBF" w:rsidRDefault="003467DB" w:rsidP="0054579A">
            <w:pPr>
              <w:spacing w:after="0"/>
              <w:jc w:val="center"/>
              <w:rPr>
                <w:b/>
                <w:bCs/>
                <w:color w:val="FFFFFF" w:themeColor="background1"/>
              </w:rPr>
            </w:pPr>
            <w:r w:rsidRPr="00F31EBF">
              <w:rPr>
                <w:b/>
                <w:bCs/>
                <w:color w:val="FFFFFF" w:themeColor="background1"/>
              </w:rPr>
              <w:t>Gefahrenstoffe</w:t>
            </w:r>
          </w:p>
        </w:tc>
      </w:tr>
      <w:tr w:rsidR="003467DB" w:rsidRPr="009C5E28" w:rsidTr="0054579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467DB" w:rsidRPr="009C5E28" w:rsidRDefault="003467DB" w:rsidP="0054579A">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467DB" w:rsidRPr="009C5E28" w:rsidRDefault="003467DB" w:rsidP="0054579A">
            <w:pPr>
              <w:spacing w:after="0"/>
              <w:jc w:val="center"/>
            </w:pPr>
            <w:r w:rsidRPr="009C5E28">
              <w:rPr>
                <w:sz w:val="20"/>
              </w:rPr>
              <w:t xml:space="preserve">P: </w:t>
            </w:r>
            <w:r>
              <w:t>-</w:t>
            </w:r>
          </w:p>
        </w:tc>
      </w:tr>
      <w:tr w:rsidR="003467DB" w:rsidRPr="009C5E28" w:rsidTr="0054579A">
        <w:tc>
          <w:tcPr>
            <w:tcW w:w="1009" w:type="dxa"/>
            <w:tcBorders>
              <w:top w:val="single" w:sz="8" w:space="0" w:color="4F81BD"/>
              <w:left w:val="single" w:sz="8" w:space="0" w:color="4F81BD"/>
              <w:bottom w:val="single" w:sz="8" w:space="0" w:color="4F81BD"/>
            </w:tcBorders>
            <w:shd w:val="clear" w:color="auto" w:fill="auto"/>
            <w:vAlign w:val="center"/>
          </w:tcPr>
          <w:p w:rsidR="003467DB" w:rsidRPr="009C5E28" w:rsidRDefault="003467DB" w:rsidP="0054579A">
            <w:pPr>
              <w:spacing w:after="0"/>
              <w:jc w:val="center"/>
              <w:rPr>
                <w:b/>
                <w:bCs/>
              </w:rPr>
            </w:pPr>
            <w:r>
              <w:rPr>
                <w:b/>
                <w:noProof/>
                <w:lang w:eastAsia="de-DE"/>
              </w:rPr>
              <w:drawing>
                <wp:inline distT="0" distB="0" distL="0" distR="0">
                  <wp:extent cx="504000" cy="504000"/>
                  <wp:effectExtent l="19050" t="0" r="0" b="0"/>
                  <wp:docPr id="99"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190" cy="504190"/>
                  <wp:effectExtent l="0" t="0" r="0" b="0"/>
                  <wp:docPr id="10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3496" cy="503496"/>
                  <wp:effectExtent l="19050" t="0" r="0" b="0"/>
                  <wp:docPr id="101"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190" cy="504190"/>
                  <wp:effectExtent l="0" t="0" r="0" b="0"/>
                  <wp:docPr id="10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190" cy="504190"/>
                  <wp:effectExtent l="0" t="0" r="0" b="0"/>
                  <wp:docPr id="10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000" cy="504000"/>
                  <wp:effectExtent l="19050" t="0" r="0" b="0"/>
                  <wp:docPr id="104"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190" cy="504190"/>
                  <wp:effectExtent l="0" t="0" r="0" b="0"/>
                  <wp:docPr id="10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000" cy="504000"/>
                  <wp:effectExtent l="19050" t="0" r="0" b="0"/>
                  <wp:docPr id="106"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467DB" w:rsidRPr="009C5E28" w:rsidRDefault="003467DB" w:rsidP="0054579A">
            <w:pPr>
              <w:spacing w:after="0"/>
              <w:jc w:val="center"/>
            </w:pPr>
            <w:r>
              <w:rPr>
                <w:noProof/>
                <w:lang w:eastAsia="de-DE"/>
              </w:rPr>
              <w:drawing>
                <wp:inline distT="0" distB="0" distL="0" distR="0">
                  <wp:extent cx="504190" cy="504190"/>
                  <wp:effectExtent l="0" t="0" r="0" b="0"/>
                  <wp:docPr id="10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467DB" w:rsidRDefault="003467DB" w:rsidP="003467DB">
      <w:pPr>
        <w:tabs>
          <w:tab w:val="left" w:pos="1701"/>
          <w:tab w:val="left" w:pos="1985"/>
        </w:tabs>
        <w:ind w:left="1980" w:hanging="1980"/>
      </w:pPr>
    </w:p>
    <w:p w:rsidR="003467DB" w:rsidRDefault="003467DB" w:rsidP="003467DB">
      <w:pPr>
        <w:tabs>
          <w:tab w:val="left" w:pos="1701"/>
          <w:tab w:val="left" w:pos="1985"/>
        </w:tabs>
        <w:ind w:left="1980" w:hanging="1980"/>
      </w:pPr>
      <w:r>
        <w:t xml:space="preserve">Materialien: </w:t>
      </w:r>
      <w:r>
        <w:tab/>
      </w:r>
      <w:r>
        <w:tab/>
        <w:t>Bunsenbrenner, Dreifuß, Drahtnetz, Tiegelzange, feuerfeste Unterlage, Teelicht, Spritzflasche.</w:t>
      </w:r>
    </w:p>
    <w:p w:rsidR="003467DB" w:rsidRPr="00ED07C2" w:rsidRDefault="003467DB" w:rsidP="003467DB">
      <w:pPr>
        <w:tabs>
          <w:tab w:val="left" w:pos="1701"/>
          <w:tab w:val="left" w:pos="1985"/>
        </w:tabs>
        <w:ind w:left="1980" w:hanging="1980"/>
      </w:pPr>
      <w:r>
        <w:t>Chemikalien:</w:t>
      </w:r>
      <w:r>
        <w:tab/>
      </w:r>
      <w:r>
        <w:tab/>
        <w:t>-</w:t>
      </w:r>
    </w:p>
    <w:p w:rsidR="003467DB" w:rsidRDefault="003467DB" w:rsidP="003467DB">
      <w:pPr>
        <w:tabs>
          <w:tab w:val="left" w:pos="1701"/>
          <w:tab w:val="left" w:pos="1985"/>
        </w:tabs>
        <w:ind w:left="1980" w:hanging="1980"/>
      </w:pPr>
      <w:r>
        <w:t>Durchführung:</w:t>
      </w:r>
      <w:r>
        <w:tab/>
      </w:r>
      <w:r>
        <w:tab/>
        <w:t>Das Teelicht wird auf den Dreifuß gestellt und mit dem Bunsenbrenner erhitzt bis es flüssig ist und beginnt zu sieden. Dann wird mit dem Bunsenbrenner das flüssige Paraffin des Teelichts entzündet. Danach wird vorsichtig versucht der Brand mit der Spritzflasche zu löschen.</w:t>
      </w:r>
    </w:p>
    <w:p w:rsidR="003467DB" w:rsidRDefault="003467DB" w:rsidP="003467DB">
      <w:pPr>
        <w:tabs>
          <w:tab w:val="left" w:pos="1701"/>
          <w:tab w:val="left" w:pos="1985"/>
        </w:tabs>
        <w:ind w:left="1980" w:hanging="1980"/>
      </w:pPr>
      <w:r>
        <w:t>Beobachtung:</w:t>
      </w:r>
      <w:r>
        <w:tab/>
      </w:r>
      <w:r>
        <w:tab/>
        <w:t>Das brennende Paraffinöl lässt sich nicht mit Wasser löschen. Es bildet sich durch die Zugabe des Wassers eine Stichflamme.</w:t>
      </w:r>
    </w:p>
    <w:p w:rsidR="003467DB" w:rsidRDefault="003467DB" w:rsidP="003467DB">
      <w:pPr>
        <w:keepNext/>
        <w:tabs>
          <w:tab w:val="left" w:pos="1701"/>
          <w:tab w:val="left" w:pos="1985"/>
        </w:tabs>
        <w:ind w:left="1980" w:hanging="1980"/>
        <w:jc w:val="center"/>
        <w:rPr>
          <w:noProof/>
          <w:lang w:eastAsia="de-DE"/>
        </w:rPr>
      </w:pPr>
      <w:r>
        <w:rPr>
          <w:noProof/>
          <w:lang w:eastAsia="de-DE"/>
        </w:rPr>
        <w:drawing>
          <wp:inline distT="0" distB="0" distL="0" distR="0">
            <wp:extent cx="1533705" cy="1508014"/>
            <wp:effectExtent l="19050" t="0" r="9345" b="0"/>
            <wp:docPr id="109" name="Bild 7" descr="C:\Users\Dennis Roggenkämper\AppData\Local\Microsoft\Windows\Temporary Internet Files\Content.Word\IMG_2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nnis Roggenkämper\AppData\Local\Microsoft\Windows\Temporary Internet Files\Content.Word\IMG_2307.jpg"/>
                    <pic:cNvPicPr>
                      <a:picLocks noChangeAspect="1" noChangeArrowheads="1"/>
                    </pic:cNvPicPr>
                  </pic:nvPicPr>
                  <pic:blipFill>
                    <a:blip r:embed="rId14" cstate="print"/>
                    <a:srcRect l="14020" r="14979" b="6800"/>
                    <a:stretch>
                      <a:fillRect/>
                    </a:stretch>
                  </pic:blipFill>
                  <pic:spPr bwMode="auto">
                    <a:xfrm>
                      <a:off x="0" y="0"/>
                      <a:ext cx="1538171" cy="1512405"/>
                    </a:xfrm>
                    <a:prstGeom prst="rect">
                      <a:avLst/>
                    </a:prstGeom>
                    <a:noFill/>
                    <a:ln w="9525">
                      <a:noFill/>
                      <a:miter lim="800000"/>
                      <a:headEnd/>
                      <a:tailEnd/>
                    </a:ln>
                  </pic:spPr>
                </pic:pic>
              </a:graphicData>
            </a:graphic>
          </wp:inline>
        </w:drawing>
      </w:r>
    </w:p>
    <w:p w:rsidR="003467DB" w:rsidRPr="00247452" w:rsidRDefault="003467DB" w:rsidP="003467DB">
      <w:pPr>
        <w:pStyle w:val="Beschriftung"/>
        <w:jc w:val="center"/>
      </w:pPr>
      <w:r w:rsidRPr="00247452">
        <w:t xml:space="preserve">Abb. </w:t>
      </w:r>
      <w:r>
        <w:t>4</w:t>
      </w:r>
      <w:r w:rsidRPr="00247452">
        <w:t xml:space="preserve"> – </w:t>
      </w:r>
      <w:r>
        <w:rPr>
          <w:noProof/>
        </w:rPr>
        <w:t>Durch Wasser wird der Brand des Paraffinöls verstärkt</w:t>
      </w:r>
      <w:r w:rsidRPr="00247452">
        <w:rPr>
          <w:noProof/>
        </w:rPr>
        <w:t>.</w:t>
      </w:r>
    </w:p>
    <w:p w:rsidR="003467DB" w:rsidRPr="004C463A" w:rsidRDefault="003467DB" w:rsidP="003467DB">
      <w:pPr>
        <w:tabs>
          <w:tab w:val="left" w:pos="1701"/>
          <w:tab w:val="left" w:pos="1985"/>
        </w:tabs>
        <w:ind w:left="1985" w:hanging="1985"/>
      </w:pPr>
      <w:r>
        <w:t>Deutung:</w:t>
      </w:r>
      <w:r>
        <w:tab/>
      </w:r>
      <w:r>
        <w:tab/>
        <w:t>Wasser schwimmt auf dem Fett. Dadurch kann der Fettbrand nicht mit Wasser gelöscht werden.</w:t>
      </w:r>
    </w:p>
    <w:p w:rsidR="003467DB" w:rsidRDefault="003467DB" w:rsidP="003467DB">
      <w:pPr>
        <w:spacing w:line="276" w:lineRule="auto"/>
        <w:ind w:left="1985" w:hanging="1985"/>
        <w:jc w:val="left"/>
      </w:pPr>
      <w:r>
        <w:t>Entsorgung:</w:t>
      </w:r>
      <w:r>
        <w:tab/>
        <w:t>Die abgekühlten Rückstände werden im Feststoffabfall entsorgt.</w:t>
      </w:r>
    </w:p>
    <w:p w:rsidR="002D0ED9" w:rsidRPr="003467DB" w:rsidRDefault="00310079" w:rsidP="003467DB">
      <w:pPr>
        <w:ind w:left="1985" w:hanging="1985"/>
        <w:rPr>
          <w:rFonts w:eastAsiaTheme="minorEastAsia"/>
        </w:rPr>
      </w:pPr>
      <w:r>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1.3pt;margin-top:49.65pt;width:456.25pt;height:101.15pt;z-index:251660288;mso-position-horizontal-relative:margin;mso-width-relative:margin;mso-height-relative:margin" strokecolor="#c0504d" strokeweight="1pt">
            <v:stroke dashstyle="dash"/>
            <v:shadow color="#868686"/>
            <v:textbox style="mso-next-textbox:#_x0000_s1026">
              <w:txbxContent>
                <w:p w:rsidR="003467DB" w:rsidRDefault="003467DB" w:rsidP="00310079">
                  <w:pPr>
                    <w:spacing w:after="0"/>
                  </w:pPr>
                  <w:r>
                    <w:t>Achtung: Der Versuch sollte am besten im Freien durchgeführt werden!</w:t>
                  </w:r>
                </w:p>
                <w:p w:rsidR="003467DB" w:rsidRPr="00530A18" w:rsidRDefault="003467DB" w:rsidP="003467DB">
                  <w:r>
                    <w:t xml:space="preserve">Wenn das Wasser in das brennende Paraffinöl gegeben wird, werden durch die Energie des Feuers die Wassermoleküle gasförmig. Die gasförmigen Wassermoleküle reißen kleine </w:t>
                  </w:r>
                  <w:proofErr w:type="spellStart"/>
                  <w:r>
                    <w:t>Tröpfchen</w:t>
                  </w:r>
                  <w:proofErr w:type="spellEnd"/>
                  <w:r>
                    <w:t xml:space="preserve"> des Paraffinöls mit in die Luft. In der Luft bekommen die </w:t>
                  </w:r>
                  <w:proofErr w:type="spellStart"/>
                  <w:r>
                    <w:t>Paraffinöltröpfchen</w:t>
                  </w:r>
                  <w:proofErr w:type="spellEnd"/>
                  <w:r>
                    <w:t xml:space="preserve"> mehr Sauerstoff, wodurch der Brand zusätzlich verstärkt wird.</w:t>
                  </w:r>
                </w:p>
              </w:txbxContent>
            </v:textbox>
            <w10:wrap type="square" anchorx="margin"/>
          </v:shape>
        </w:pict>
      </w:r>
      <w:r w:rsidR="003467DB">
        <w:t>Literatur:</w:t>
      </w:r>
      <w:r w:rsidR="003467DB">
        <w:tab/>
      </w:r>
      <w:r w:rsidR="003467DB" w:rsidRPr="003467DB">
        <w:rPr>
          <w:rFonts w:ascii="Cambria Math" w:eastAsia="Times New Roman" w:hAnsi="Cambria Math" w:cs="Times New Roman"/>
          <w:color w:val="auto"/>
          <w:szCs w:val="24"/>
          <w:lang w:eastAsia="de-DE"/>
        </w:rPr>
        <w:t>H. Pitsch, http://kids.t-online.de/warum-duerfen-wir-brennendes-oel-nicht-mit-wasser-loeschen-/id_43035520/index (Abgerufen am 30.07.15)</w:t>
      </w:r>
    </w:p>
    <w:sectPr w:rsidR="002D0ED9" w:rsidRPr="003467DB"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67DB"/>
    <w:rsid w:val="002D0ED9"/>
    <w:rsid w:val="00310079"/>
    <w:rsid w:val="00315518"/>
    <w:rsid w:val="003467DB"/>
    <w:rsid w:val="003514D8"/>
    <w:rsid w:val="00362A04"/>
    <w:rsid w:val="00717EFF"/>
    <w:rsid w:val="007A4199"/>
    <w:rsid w:val="007E31DB"/>
    <w:rsid w:val="00AB4638"/>
    <w:rsid w:val="00EE6415"/>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7DB"/>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3467D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3467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67DB"/>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2015-08-18T08:11:00Z</dcterms:created>
  <dcterms:modified xsi:type="dcterms:W3CDTF">2015-08-18T13:01:00Z</dcterms:modified>
</cp:coreProperties>
</file>