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4F0" w:rsidRPr="00EC74F0" w:rsidRDefault="00EC74F0" w:rsidP="00EC74F0">
      <w:pPr>
        <w:rPr>
          <w:b/>
        </w:rPr>
      </w:pPr>
      <w:r w:rsidRPr="00EC74F0">
        <w:rPr>
          <w:b/>
        </w:rPr>
        <w:t>Modell eines Kohlensäurefeuerlöschers</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C74F0" w:rsidRPr="009C5E28" w:rsidTr="0054579A">
        <w:tc>
          <w:tcPr>
            <w:tcW w:w="9322" w:type="dxa"/>
            <w:gridSpan w:val="9"/>
            <w:shd w:val="clear" w:color="auto" w:fill="4F81BD"/>
            <w:vAlign w:val="center"/>
          </w:tcPr>
          <w:p w:rsidR="00EC74F0" w:rsidRPr="00F31EBF" w:rsidRDefault="00EC74F0" w:rsidP="0054579A">
            <w:pPr>
              <w:spacing w:after="0"/>
              <w:jc w:val="center"/>
              <w:rPr>
                <w:b/>
                <w:bCs/>
                <w:color w:val="FFFFFF" w:themeColor="background1"/>
              </w:rPr>
            </w:pPr>
            <w:r w:rsidRPr="00F31EBF">
              <w:rPr>
                <w:b/>
                <w:bCs/>
                <w:color w:val="FFFFFF" w:themeColor="background1"/>
              </w:rPr>
              <w:t>Gefahrenstoffe</w:t>
            </w:r>
          </w:p>
        </w:tc>
      </w:tr>
      <w:tr w:rsidR="00EC74F0" w:rsidRPr="009C5E28" w:rsidTr="0054579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C74F0" w:rsidRDefault="00EC74F0" w:rsidP="0054579A">
            <w:pPr>
              <w:spacing w:after="0" w:line="276" w:lineRule="auto"/>
              <w:jc w:val="center"/>
              <w:rPr>
                <w:sz w:val="20"/>
              </w:rPr>
            </w:pPr>
            <w:r>
              <w:rPr>
                <w:sz w:val="20"/>
              </w:rPr>
              <w:t>Natriumhydrogencarbonat</w:t>
            </w:r>
          </w:p>
        </w:tc>
        <w:tc>
          <w:tcPr>
            <w:tcW w:w="3177" w:type="dxa"/>
            <w:gridSpan w:val="3"/>
            <w:tcBorders>
              <w:top w:val="single" w:sz="8" w:space="0" w:color="4F81BD"/>
              <w:bottom w:val="single" w:sz="8" w:space="0" w:color="4F81BD"/>
            </w:tcBorders>
            <w:shd w:val="clear" w:color="auto" w:fill="auto"/>
            <w:vAlign w:val="center"/>
          </w:tcPr>
          <w:p w:rsidR="00EC74F0" w:rsidRPr="009C5E28" w:rsidRDefault="00EC74F0" w:rsidP="0054579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C74F0" w:rsidRPr="009C5E28" w:rsidRDefault="00EC74F0" w:rsidP="0054579A">
            <w:pPr>
              <w:spacing w:after="0"/>
              <w:jc w:val="center"/>
              <w:rPr>
                <w:sz w:val="20"/>
              </w:rPr>
            </w:pPr>
            <w:r>
              <w:rPr>
                <w:sz w:val="20"/>
              </w:rPr>
              <w:t>-</w:t>
            </w:r>
          </w:p>
        </w:tc>
      </w:tr>
      <w:tr w:rsidR="00EC74F0" w:rsidRPr="009C5E28" w:rsidTr="0054579A">
        <w:tc>
          <w:tcPr>
            <w:tcW w:w="1009" w:type="dxa"/>
            <w:tcBorders>
              <w:top w:val="single" w:sz="8" w:space="0" w:color="4F81BD"/>
              <w:left w:val="single" w:sz="8" w:space="0" w:color="4F81BD"/>
              <w:bottom w:val="single" w:sz="8" w:space="0" w:color="4F81BD"/>
            </w:tcBorders>
            <w:shd w:val="clear" w:color="auto" w:fill="auto"/>
            <w:vAlign w:val="center"/>
          </w:tcPr>
          <w:p w:rsidR="00EC74F0" w:rsidRPr="009C5E28" w:rsidRDefault="00EC74F0" w:rsidP="0054579A">
            <w:pPr>
              <w:spacing w:after="0"/>
              <w:jc w:val="center"/>
              <w:rPr>
                <w:b/>
                <w:bCs/>
              </w:rPr>
            </w:pPr>
            <w:r>
              <w:rPr>
                <w:b/>
                <w:noProof/>
                <w:lang w:eastAsia="de-DE"/>
              </w:rPr>
              <w:drawing>
                <wp:inline distT="0" distB="0" distL="0" distR="0">
                  <wp:extent cx="504000" cy="504000"/>
                  <wp:effectExtent l="19050" t="0" r="0" b="0"/>
                  <wp:docPr id="4"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5"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74F0" w:rsidRPr="009C5E28" w:rsidRDefault="00EC74F0" w:rsidP="0054579A">
            <w:pPr>
              <w:spacing w:after="0"/>
              <w:jc w:val="center"/>
            </w:pPr>
            <w:r>
              <w:rPr>
                <w:noProof/>
                <w:lang w:eastAsia="de-DE"/>
              </w:rPr>
              <w:drawing>
                <wp:inline distT="0" distB="0" distL="0" distR="0">
                  <wp:extent cx="504190" cy="504190"/>
                  <wp:effectExtent l="0" t="0" r="0" b="0"/>
                  <wp:docPr id="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74F0" w:rsidRPr="009C5E28" w:rsidRDefault="00EC74F0" w:rsidP="0054579A">
            <w:pPr>
              <w:spacing w:after="0"/>
              <w:jc w:val="center"/>
            </w:pPr>
            <w:r>
              <w:rPr>
                <w:noProof/>
                <w:lang w:eastAsia="de-DE"/>
              </w:rPr>
              <w:drawing>
                <wp:inline distT="0" distB="0" distL="0" distR="0">
                  <wp:extent cx="503496" cy="503496"/>
                  <wp:effectExtent l="19050" t="0" r="0" b="0"/>
                  <wp:docPr id="14"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7"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74F0" w:rsidRPr="009C5E28" w:rsidRDefault="00EC74F0" w:rsidP="0054579A">
            <w:pPr>
              <w:spacing w:after="0"/>
              <w:jc w:val="center"/>
            </w:pPr>
            <w:r>
              <w:rPr>
                <w:noProof/>
                <w:lang w:eastAsia="de-DE"/>
              </w:rPr>
              <w:drawing>
                <wp:inline distT="0" distB="0" distL="0" distR="0">
                  <wp:extent cx="504190" cy="504190"/>
                  <wp:effectExtent l="0" t="0" r="0" b="0"/>
                  <wp:docPr id="1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C74F0" w:rsidRPr="009C5E28" w:rsidRDefault="00EC74F0" w:rsidP="0054579A">
            <w:pPr>
              <w:spacing w:after="0"/>
              <w:jc w:val="center"/>
            </w:pPr>
            <w:r>
              <w:rPr>
                <w:noProof/>
                <w:lang w:eastAsia="de-DE"/>
              </w:rPr>
              <w:drawing>
                <wp:inline distT="0" distB="0" distL="0" distR="0">
                  <wp:extent cx="504190" cy="504190"/>
                  <wp:effectExtent l="0" t="0" r="0" b="0"/>
                  <wp:docPr id="1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C74F0" w:rsidRPr="009C5E28" w:rsidRDefault="00EC74F0" w:rsidP="0054579A">
            <w:pPr>
              <w:spacing w:after="0"/>
              <w:jc w:val="center"/>
            </w:pPr>
            <w:r>
              <w:rPr>
                <w:noProof/>
                <w:lang w:eastAsia="de-DE"/>
              </w:rPr>
              <w:drawing>
                <wp:inline distT="0" distB="0" distL="0" distR="0">
                  <wp:extent cx="504000" cy="504000"/>
                  <wp:effectExtent l="19050" t="0" r="0" b="0"/>
                  <wp:docPr id="21"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0"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C74F0" w:rsidRPr="009C5E28" w:rsidRDefault="00EC74F0" w:rsidP="0054579A">
            <w:pPr>
              <w:spacing w:after="0"/>
              <w:jc w:val="center"/>
            </w:pPr>
            <w:r>
              <w:rPr>
                <w:noProof/>
                <w:lang w:eastAsia="de-DE"/>
              </w:rPr>
              <w:drawing>
                <wp:inline distT="0" distB="0" distL="0" distR="0">
                  <wp:extent cx="504190" cy="504190"/>
                  <wp:effectExtent l="0" t="0" r="0" b="0"/>
                  <wp:docPr id="2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C74F0" w:rsidRPr="009C5E28" w:rsidRDefault="00EC74F0" w:rsidP="0054579A">
            <w:pPr>
              <w:spacing w:after="0"/>
              <w:jc w:val="center"/>
            </w:pPr>
            <w:r>
              <w:rPr>
                <w:noProof/>
                <w:lang w:eastAsia="de-DE"/>
              </w:rPr>
              <w:drawing>
                <wp:inline distT="0" distB="0" distL="0" distR="0">
                  <wp:extent cx="504000" cy="504000"/>
                  <wp:effectExtent l="19050" t="0" r="0" b="0"/>
                  <wp:docPr id="28"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2"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C74F0" w:rsidRPr="009C5E28" w:rsidRDefault="00EC74F0" w:rsidP="0054579A">
            <w:pPr>
              <w:spacing w:after="0"/>
              <w:jc w:val="center"/>
            </w:pPr>
            <w:r>
              <w:rPr>
                <w:noProof/>
                <w:lang w:eastAsia="de-DE"/>
              </w:rPr>
              <w:drawing>
                <wp:inline distT="0" distB="0" distL="0" distR="0">
                  <wp:extent cx="504190" cy="504190"/>
                  <wp:effectExtent l="0" t="0" r="0" b="0"/>
                  <wp:docPr id="2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C74F0" w:rsidRDefault="00EC74F0" w:rsidP="00EC74F0">
      <w:pPr>
        <w:tabs>
          <w:tab w:val="left" w:pos="1701"/>
          <w:tab w:val="left" w:pos="1985"/>
        </w:tabs>
        <w:ind w:left="1980" w:hanging="1980"/>
      </w:pPr>
    </w:p>
    <w:p w:rsidR="00EC74F0" w:rsidRDefault="00EC74F0" w:rsidP="00EC74F0">
      <w:pPr>
        <w:tabs>
          <w:tab w:val="left" w:pos="1701"/>
          <w:tab w:val="left" w:pos="1985"/>
        </w:tabs>
        <w:ind w:left="1980" w:hanging="1980"/>
      </w:pPr>
      <w:r>
        <w:t xml:space="preserve">Materialien: </w:t>
      </w:r>
      <w:r>
        <w:tab/>
      </w:r>
      <w:r>
        <w:tab/>
      </w:r>
      <w:proofErr w:type="spellStart"/>
      <w:r>
        <w:t>Duranreagenzglas</w:t>
      </w:r>
      <w:proofErr w:type="spellEnd"/>
      <w:r>
        <w:t>, Stopfen mit Bohrung, Steigrohr mit 90° Winkel, Becherglas, Bunsenbrenner, Stativmaterial, Teelicht.</w:t>
      </w:r>
    </w:p>
    <w:p w:rsidR="00EC74F0" w:rsidRPr="00ED07C2" w:rsidRDefault="00EC74F0" w:rsidP="00EC74F0">
      <w:pPr>
        <w:tabs>
          <w:tab w:val="left" w:pos="1701"/>
          <w:tab w:val="left" w:pos="1985"/>
        </w:tabs>
        <w:ind w:left="1980" w:hanging="1980"/>
      </w:pPr>
      <w:r>
        <w:t>Chemikalien:</w:t>
      </w:r>
      <w:r>
        <w:tab/>
      </w:r>
      <w:r>
        <w:tab/>
        <w:t>Natriumhydrogencarbonat.</w:t>
      </w:r>
    </w:p>
    <w:p w:rsidR="00EC74F0" w:rsidRDefault="00EC74F0" w:rsidP="00EC74F0">
      <w:pPr>
        <w:tabs>
          <w:tab w:val="left" w:pos="1701"/>
          <w:tab w:val="left" w:pos="1985"/>
        </w:tabs>
        <w:ind w:left="1980" w:hanging="1980"/>
      </w:pPr>
      <w:r>
        <w:t>Durchführung:</w:t>
      </w:r>
      <w:r>
        <w:tab/>
      </w:r>
      <w:r>
        <w:tab/>
        <w:t>In das Reagenzglas werden 3 gehäufte Spatel Natriumhydrogencarbonat gegeben. Das Reagenzglas wird verschlossen und waagerecht im Stativ fixiert. Das Steigrohr wird so ausgerichtet, dass die Öffnung in das Becherglas zeigt, in welches zuvor das brennende Teelicht gestellt wird.</w:t>
      </w:r>
    </w:p>
    <w:p w:rsidR="00EC74F0" w:rsidRDefault="00EC74F0" w:rsidP="00EC74F0">
      <w:pPr>
        <w:tabs>
          <w:tab w:val="left" w:pos="1701"/>
          <w:tab w:val="left" w:pos="1985"/>
        </w:tabs>
        <w:ind w:left="1980" w:hanging="1980"/>
      </w:pPr>
      <w:r>
        <w:t>Beobachtung:</w:t>
      </w:r>
      <w:r>
        <w:tab/>
      </w:r>
      <w:r>
        <w:tab/>
      </w:r>
      <w:r>
        <w:tab/>
        <w:t>Die Flamme des Teelichts erlischt, nachdem sich ausreichend Gas im Reagenzglas gebildet hat und bis z</w:t>
      </w:r>
      <w:r w:rsidR="004B16CF">
        <w:t>um Becherglas vorgedrungen ist.</w:t>
      </w:r>
    </w:p>
    <w:p w:rsidR="00EC74F0" w:rsidRDefault="00EC74F0" w:rsidP="00EC74F0">
      <w:pPr>
        <w:keepNext/>
        <w:tabs>
          <w:tab w:val="left" w:pos="1701"/>
          <w:tab w:val="left" w:pos="1985"/>
        </w:tabs>
        <w:ind w:left="1980" w:hanging="1980"/>
        <w:jc w:val="center"/>
      </w:pPr>
      <w:r>
        <w:rPr>
          <w:noProof/>
          <w:lang w:eastAsia="de-DE"/>
        </w:rPr>
        <w:drawing>
          <wp:inline distT="0" distB="0" distL="0" distR="0">
            <wp:extent cx="2147977" cy="1563481"/>
            <wp:effectExtent l="19050" t="0" r="4673" b="0"/>
            <wp:docPr id="43" name="Bild 1" descr="C:\Users\Dennis Roggenkämper\AppData\Local\Microsoft\Windows\Temporary Internet Files\Content.Word\IMG_2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 Roggenkämper\AppData\Local\Microsoft\Windows\Temporary Internet Files\Content.Word\IMG_2256.jpg"/>
                    <pic:cNvPicPr>
                      <a:picLocks noChangeAspect="1" noChangeArrowheads="1"/>
                    </pic:cNvPicPr>
                  </pic:nvPicPr>
                  <pic:blipFill>
                    <a:blip r:embed="rId14" cstate="print"/>
                    <a:srcRect l="9824" t="12800" r="5330" b="4740"/>
                    <a:stretch>
                      <a:fillRect/>
                    </a:stretch>
                  </pic:blipFill>
                  <pic:spPr bwMode="auto">
                    <a:xfrm>
                      <a:off x="0" y="0"/>
                      <a:ext cx="2149648" cy="1564697"/>
                    </a:xfrm>
                    <a:prstGeom prst="rect">
                      <a:avLst/>
                    </a:prstGeom>
                    <a:noFill/>
                    <a:ln w="9525">
                      <a:noFill/>
                      <a:miter lim="800000"/>
                      <a:headEnd/>
                      <a:tailEnd/>
                    </a:ln>
                  </pic:spPr>
                </pic:pic>
              </a:graphicData>
            </a:graphic>
          </wp:inline>
        </w:drawing>
      </w:r>
    </w:p>
    <w:p w:rsidR="00EC74F0" w:rsidRPr="00247452" w:rsidRDefault="00EC74F0" w:rsidP="00EC74F0">
      <w:pPr>
        <w:pStyle w:val="Beschriftung"/>
        <w:jc w:val="center"/>
      </w:pPr>
      <w:r>
        <w:t>Abb. 6</w:t>
      </w:r>
      <w:r w:rsidRPr="00247452">
        <w:t xml:space="preserve"> – </w:t>
      </w:r>
      <w:r w:rsidRPr="00247452">
        <w:rPr>
          <w:noProof/>
        </w:rPr>
        <w:t xml:space="preserve">Erlischen eines Teelichts </w:t>
      </w:r>
      <w:r>
        <w:rPr>
          <w:noProof/>
        </w:rPr>
        <w:t>mit</w:t>
      </w:r>
      <w:r w:rsidRPr="00247452">
        <w:rPr>
          <w:noProof/>
        </w:rPr>
        <w:t xml:space="preserve"> CO</w:t>
      </w:r>
      <w:r w:rsidRPr="00247452">
        <w:rPr>
          <w:noProof/>
          <w:vertAlign w:val="subscript"/>
        </w:rPr>
        <w:t>2</w:t>
      </w:r>
      <w:r w:rsidRPr="00247452">
        <w:rPr>
          <w:noProof/>
        </w:rPr>
        <w:t>.</w:t>
      </w:r>
    </w:p>
    <w:p w:rsidR="00EC74F0" w:rsidRDefault="00EC74F0" w:rsidP="004B16CF">
      <w:pPr>
        <w:tabs>
          <w:tab w:val="left" w:pos="1701"/>
          <w:tab w:val="left" w:pos="1985"/>
        </w:tabs>
        <w:spacing w:after="0"/>
        <w:ind w:left="1985" w:hanging="1985"/>
      </w:pPr>
      <w:r>
        <w:t>Deutung:</w:t>
      </w:r>
      <w:r>
        <w:tab/>
      </w:r>
      <w:r>
        <w:tab/>
        <w:t>Natriumhydrogencarbonat zersetzt sich durch das Erhitzen mit dem Bunsenbrenner in Kohlenstoffdioxid und Wasser.</w:t>
      </w:r>
    </w:p>
    <w:p w:rsidR="00EC74F0" w:rsidRPr="00D018F8" w:rsidRDefault="00EC74F0" w:rsidP="004B16CF">
      <w:pPr>
        <w:tabs>
          <w:tab w:val="left" w:pos="1701"/>
          <w:tab w:val="left" w:pos="1985"/>
        </w:tabs>
        <w:ind w:left="1985" w:hanging="1985"/>
        <w:rPr>
          <w:rFonts w:eastAsiaTheme="minorEastAsia"/>
          <w:lang w:val="en-US"/>
        </w:rPr>
      </w:pPr>
      <w:r>
        <w:tab/>
      </w:r>
      <w:r>
        <w:tab/>
      </w:r>
      <w:r w:rsidRPr="00D018F8">
        <w:rPr>
          <w:lang w:val="en-US"/>
        </w:rPr>
        <w:t>Na</w:t>
      </w:r>
      <w:r w:rsidRPr="00D84047">
        <w:rPr>
          <w:lang w:val="en-US"/>
        </w:rPr>
        <w:t>H</w:t>
      </w:r>
      <w:r w:rsidRPr="00D018F8">
        <w:rPr>
          <w:lang w:val="en-US"/>
        </w:rPr>
        <w:t>CO</w:t>
      </w:r>
      <w:r w:rsidRPr="00D018F8">
        <w:rPr>
          <w:vertAlign w:val="subscript"/>
          <w:lang w:val="en-US"/>
        </w:rPr>
        <w:t>3</w:t>
      </w:r>
      <w:r w:rsidRPr="00D018F8">
        <w:rPr>
          <w:lang w:val="en-US"/>
        </w:rPr>
        <w:t xml:space="preserve"> </w:t>
      </w:r>
      <w:r w:rsidRPr="00D018F8">
        <w:rPr>
          <w:vertAlign w:val="subscript"/>
          <w:lang w:val="en-US"/>
        </w:rPr>
        <w:t>(s)</w:t>
      </w:r>
      <w:r>
        <w:rPr>
          <w:lang w:val="en-US"/>
        </w:rPr>
        <w:t xml:space="preserve">   </w:t>
      </w:r>
      <w:r w:rsidRPr="00D018F8">
        <w:rPr>
          <w:lang w:val="en-US"/>
        </w:rPr>
        <w:t xml:space="preserve">→ </w:t>
      </w:r>
      <w:r>
        <w:rPr>
          <w:lang w:val="en-US"/>
        </w:rPr>
        <w:t xml:space="preserve">  CO</w:t>
      </w:r>
      <w:r w:rsidRPr="00213033">
        <w:rPr>
          <w:vertAlign w:val="subscript"/>
          <w:lang w:val="en-US"/>
        </w:rPr>
        <w:t>2</w:t>
      </w:r>
      <w:r>
        <w:rPr>
          <w:lang w:val="en-US"/>
        </w:rPr>
        <w:t xml:space="preserve"> </w:t>
      </w:r>
      <w:r>
        <w:rPr>
          <w:vertAlign w:val="subscript"/>
          <w:lang w:val="en-US"/>
        </w:rPr>
        <w:t>(g</w:t>
      </w:r>
      <w:r w:rsidRPr="00D018F8">
        <w:rPr>
          <w:vertAlign w:val="subscript"/>
          <w:lang w:val="en-US"/>
        </w:rPr>
        <w:t>)</w:t>
      </w:r>
      <w:r w:rsidRPr="00D018F8">
        <w:rPr>
          <w:lang w:val="en-US"/>
        </w:rPr>
        <w:t xml:space="preserve"> </w:t>
      </w:r>
      <w:r>
        <w:rPr>
          <w:lang w:val="en-US"/>
        </w:rPr>
        <w:t xml:space="preserve">  </w:t>
      </w:r>
      <w:r w:rsidRPr="00D018F8">
        <w:rPr>
          <w:lang w:val="en-US"/>
        </w:rPr>
        <w:t xml:space="preserve">+ </w:t>
      </w:r>
      <w:r>
        <w:rPr>
          <w:lang w:val="en-US"/>
        </w:rPr>
        <w:t xml:space="preserve">  </w:t>
      </w:r>
      <w:r w:rsidRPr="00D018F8">
        <w:rPr>
          <w:lang w:val="en-US"/>
        </w:rPr>
        <w:t>H</w:t>
      </w:r>
      <w:r w:rsidRPr="00D018F8">
        <w:rPr>
          <w:vertAlign w:val="subscript"/>
          <w:lang w:val="en-US"/>
        </w:rPr>
        <w:t>2</w:t>
      </w:r>
      <w:r w:rsidRPr="00D018F8">
        <w:rPr>
          <w:lang w:val="en-US"/>
        </w:rPr>
        <w:t>O</w:t>
      </w:r>
      <w:r>
        <w:rPr>
          <w:lang w:val="en-US"/>
        </w:rPr>
        <w:t xml:space="preserve"> </w:t>
      </w:r>
      <w:r w:rsidRPr="00D018F8">
        <w:rPr>
          <w:vertAlign w:val="subscript"/>
          <w:lang w:val="en-US"/>
        </w:rPr>
        <w:t>(</w:t>
      </w:r>
      <w:r>
        <w:rPr>
          <w:vertAlign w:val="subscript"/>
          <w:lang w:val="en-US"/>
        </w:rPr>
        <w:t>g</w:t>
      </w:r>
      <w:r w:rsidRPr="00D018F8">
        <w:rPr>
          <w:vertAlign w:val="subscript"/>
          <w:lang w:val="en-US"/>
        </w:rPr>
        <w:t>)</w:t>
      </w:r>
      <w:r w:rsidRPr="00D018F8">
        <w:rPr>
          <w:lang w:val="en-US"/>
        </w:rPr>
        <w:t xml:space="preserve"> </w:t>
      </w:r>
      <w:r>
        <w:rPr>
          <w:lang w:val="en-US"/>
        </w:rPr>
        <w:t xml:space="preserve">  </w:t>
      </w:r>
      <w:r w:rsidRPr="00D018F8">
        <w:rPr>
          <w:lang w:val="en-US"/>
        </w:rPr>
        <w:t xml:space="preserve">+ </w:t>
      </w:r>
      <w:r>
        <w:rPr>
          <w:lang w:val="en-US"/>
        </w:rPr>
        <w:t xml:space="preserve">  Na</w:t>
      </w:r>
      <w:r w:rsidRPr="00213033">
        <w:rPr>
          <w:vertAlign w:val="subscript"/>
          <w:lang w:val="en-US"/>
        </w:rPr>
        <w:t>2</w:t>
      </w:r>
      <w:r w:rsidRPr="00D018F8">
        <w:rPr>
          <w:lang w:val="en-US"/>
        </w:rPr>
        <w:t>CO</w:t>
      </w:r>
      <w:r>
        <w:rPr>
          <w:vertAlign w:val="subscript"/>
          <w:lang w:val="en-US"/>
        </w:rPr>
        <w:t>3</w:t>
      </w:r>
      <w:r w:rsidRPr="00D018F8">
        <w:rPr>
          <w:lang w:val="en-US"/>
        </w:rPr>
        <w:t xml:space="preserve"> </w:t>
      </w:r>
      <w:r w:rsidRPr="00D018F8">
        <w:rPr>
          <w:vertAlign w:val="subscript"/>
          <w:lang w:val="en-US"/>
        </w:rPr>
        <w:t>(</w:t>
      </w:r>
      <w:r>
        <w:rPr>
          <w:vertAlign w:val="subscript"/>
          <w:lang w:val="en-US"/>
        </w:rPr>
        <w:t>s</w:t>
      </w:r>
      <w:r w:rsidRPr="00D018F8">
        <w:rPr>
          <w:vertAlign w:val="subscript"/>
          <w:lang w:val="en-US"/>
        </w:rPr>
        <w:t>)</w:t>
      </w:r>
    </w:p>
    <w:p w:rsidR="00EC74F0" w:rsidRDefault="00EC74F0" w:rsidP="00EC74F0">
      <w:pPr>
        <w:spacing w:line="276" w:lineRule="auto"/>
        <w:ind w:left="1985" w:hanging="1985"/>
        <w:jc w:val="left"/>
      </w:pPr>
      <w:r>
        <w:t>Entsorgung:</w:t>
      </w:r>
      <w:r>
        <w:tab/>
        <w:t>Das Natriumcarbonat kann im Fettstoffabfall entsorgt werden.</w:t>
      </w:r>
    </w:p>
    <w:p w:rsidR="002D0ED9" w:rsidRDefault="00BA764E" w:rsidP="004B16CF">
      <w:pPr>
        <w:ind w:left="1985" w:hanging="1985"/>
      </w:pPr>
      <w:r w:rsidRPr="00BA764E">
        <w:rPr>
          <w:rFonts w:eastAsiaTheme="minorEastAsia"/>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1.2pt;margin-top:72.15pt;width:456.25pt;height:62.5pt;z-index:251660288;mso-position-horizontal-relative:margin;mso-width-relative:margin;mso-height-relative:margin" strokecolor="#c0504d" strokeweight="1pt">
            <v:stroke dashstyle="dash"/>
            <v:shadow color="#868686"/>
            <v:textbox style="mso-next-textbox:#_x0000_s1026">
              <w:txbxContent>
                <w:p w:rsidR="00EC74F0" w:rsidRDefault="00EC74F0" w:rsidP="00EC74F0">
                  <w:r>
                    <w:t>Alternativ kann auch Natriumhydrogencarbonat auf einen Brandherd gegeben werden. Durch die Hitze wird CO</w:t>
                  </w:r>
                  <w:r w:rsidRPr="004C1303">
                    <w:rPr>
                      <w:vertAlign w:val="subscript"/>
                    </w:rPr>
                    <w:t>2</w:t>
                  </w:r>
                  <w:r>
                    <w:t xml:space="preserve"> freigesetzt, das den Brand löscht. Problematisch ist hierbei nur, dass bei den SuS Fehlvorstellungen entstehen könnten, dass das Feuer durch das Pulver gelöscht wird.</w:t>
                  </w:r>
                </w:p>
                <w:p w:rsidR="00EC74F0" w:rsidRPr="00530A18" w:rsidRDefault="00EC74F0" w:rsidP="00EC74F0"/>
              </w:txbxContent>
            </v:textbox>
            <w10:wrap type="square" anchorx="margin"/>
          </v:shape>
        </w:pict>
      </w:r>
      <w:r w:rsidR="00EC74F0" w:rsidRPr="00682093">
        <w:t>Literatur:</w:t>
      </w:r>
      <w:r w:rsidR="00EC74F0" w:rsidRPr="00682093">
        <w:tab/>
      </w:r>
      <w:r w:rsidR="00EC74F0" w:rsidRPr="00EC74F0">
        <w:rPr>
          <w:rFonts w:ascii="Cambria Math" w:eastAsia="Times New Roman" w:hAnsi="Cambria Math" w:cs="Times New Roman"/>
          <w:color w:val="auto"/>
          <w:szCs w:val="24"/>
          <w:lang w:eastAsia="de-DE"/>
        </w:rPr>
        <w:t xml:space="preserve">R. Blume, D. </w:t>
      </w:r>
      <w:proofErr w:type="spellStart"/>
      <w:r w:rsidR="00EC74F0" w:rsidRPr="00EC74F0">
        <w:rPr>
          <w:rFonts w:ascii="Cambria Math" w:eastAsia="Times New Roman" w:hAnsi="Cambria Math" w:cs="Times New Roman"/>
          <w:color w:val="auto"/>
          <w:szCs w:val="24"/>
          <w:lang w:eastAsia="de-DE"/>
        </w:rPr>
        <w:t>Wiechoczek</w:t>
      </w:r>
      <w:proofErr w:type="spellEnd"/>
      <w:r w:rsidR="00EC74F0" w:rsidRPr="00EC74F0">
        <w:rPr>
          <w:rFonts w:ascii="Cambria Math" w:eastAsia="Times New Roman" w:hAnsi="Cambria Math" w:cs="Times New Roman"/>
          <w:color w:val="auto"/>
          <w:szCs w:val="24"/>
          <w:lang w:eastAsia="de-DE"/>
        </w:rPr>
        <w:t xml:space="preserve"> (2003) http://www.chemieunter-richt.de/dc2/grundsch/versuche/gs-v-136.htm. (Abgerufen am 30.07.2015)</w:t>
      </w:r>
    </w:p>
    <w:sectPr w:rsidR="002D0ED9"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C74F0"/>
    <w:rsid w:val="002D0ED9"/>
    <w:rsid w:val="003514D8"/>
    <w:rsid w:val="003608EA"/>
    <w:rsid w:val="00362A04"/>
    <w:rsid w:val="004B16CF"/>
    <w:rsid w:val="00717EFF"/>
    <w:rsid w:val="007A4199"/>
    <w:rsid w:val="007E31DB"/>
    <w:rsid w:val="00884EF7"/>
    <w:rsid w:val="00BA764E"/>
    <w:rsid w:val="00EC74F0"/>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74F0"/>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Beschriftung">
    <w:name w:val="caption"/>
    <w:basedOn w:val="Standard"/>
    <w:next w:val="Standard"/>
    <w:uiPriority w:val="35"/>
    <w:unhideWhenUsed/>
    <w:qFormat/>
    <w:rsid w:val="00EC74F0"/>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EC74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74F0"/>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995</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2</cp:revision>
  <dcterms:created xsi:type="dcterms:W3CDTF">2015-08-18T08:14:00Z</dcterms:created>
  <dcterms:modified xsi:type="dcterms:W3CDTF">2015-08-18T13:02:00Z</dcterms:modified>
</cp:coreProperties>
</file>