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226" w:rsidRPr="007A3226" w:rsidRDefault="007A3226" w:rsidP="007A3226">
      <w:pPr>
        <w:rPr>
          <w:b/>
        </w:rPr>
      </w:pPr>
      <w:r w:rsidRPr="007A3226">
        <w:rPr>
          <w:b/>
        </w:rPr>
        <w:t>Brausepulver-Feuerlöscher</w:t>
      </w:r>
    </w:p>
    <w:p w:rsidR="007A3226" w:rsidRDefault="007A3226" w:rsidP="007A3226">
      <w:pPr>
        <w:tabs>
          <w:tab w:val="left" w:pos="1701"/>
          <w:tab w:val="left" w:pos="1985"/>
        </w:tabs>
        <w:ind w:left="1980" w:hanging="1980"/>
      </w:pPr>
      <w:r>
        <w:t xml:space="preserve">Materialien: </w:t>
      </w:r>
      <w:r>
        <w:tab/>
      </w:r>
      <w:r>
        <w:tab/>
        <w:t xml:space="preserve">250 mL Becherglas, Spritzflasche, Stopfen eines </w:t>
      </w:r>
      <w:proofErr w:type="spellStart"/>
      <w:r>
        <w:t>Erlenmeyerkolbens</w:t>
      </w:r>
      <w:proofErr w:type="spellEnd"/>
      <w:r>
        <w:t xml:space="preserve"> oder Porzellantiegel, Tiegelzange, Teelicht.</w:t>
      </w:r>
    </w:p>
    <w:p w:rsidR="007A3226" w:rsidRPr="00ED07C2" w:rsidRDefault="007A3226" w:rsidP="007A3226">
      <w:pPr>
        <w:tabs>
          <w:tab w:val="left" w:pos="1701"/>
          <w:tab w:val="left" w:pos="1985"/>
        </w:tabs>
        <w:ind w:left="1980" w:hanging="1980"/>
      </w:pPr>
      <w:r>
        <w:t>Chemikalien:</w:t>
      </w:r>
      <w:r>
        <w:tab/>
      </w:r>
      <w:r>
        <w:tab/>
        <w:t xml:space="preserve">2 Tütchen </w:t>
      </w:r>
      <w:proofErr w:type="spellStart"/>
      <w:r>
        <w:t>Ahoj</w:t>
      </w:r>
      <w:proofErr w:type="spellEnd"/>
      <w:r>
        <w:t>-Brausepulver.</w:t>
      </w:r>
    </w:p>
    <w:p w:rsidR="007A3226" w:rsidRDefault="007A3226" w:rsidP="007A3226">
      <w:pPr>
        <w:tabs>
          <w:tab w:val="left" w:pos="1701"/>
          <w:tab w:val="left" w:pos="1985"/>
        </w:tabs>
        <w:ind w:left="1980" w:hanging="1980"/>
      </w:pPr>
      <w:r>
        <w:t>Durchführung:</w:t>
      </w:r>
      <w:r>
        <w:tab/>
      </w:r>
      <w:r>
        <w:tab/>
        <w:t xml:space="preserve">In das Becherglas werden 2 Tütchen Brausepulver gegeben. In die Mitte des Becherglases wird der Stopfen des </w:t>
      </w:r>
      <w:proofErr w:type="spellStart"/>
      <w:r>
        <w:t>Erlenmeyerkolbens</w:t>
      </w:r>
      <w:proofErr w:type="spellEnd"/>
      <w:r>
        <w:t xml:space="preserve"> oder der Porze</w:t>
      </w:r>
      <w:r>
        <w:t>l</w:t>
      </w:r>
      <w:r>
        <w:t xml:space="preserve">lantiegel gestellt. Darauf wird das Teelicht gestellt und entzündet wird. Mit der Spritzflasche wird so viel Wasser hinzugegeben, bis es zur deutlichen Gasbildung kommt. </w:t>
      </w:r>
    </w:p>
    <w:p w:rsidR="007A3226" w:rsidRDefault="007A3226" w:rsidP="007A3226">
      <w:pPr>
        <w:tabs>
          <w:tab w:val="left" w:pos="1701"/>
          <w:tab w:val="left" w:pos="1985"/>
        </w:tabs>
        <w:ind w:left="1980" w:hanging="1980"/>
      </w:pPr>
      <w:r>
        <w:t>Beobachtung:</w:t>
      </w:r>
      <w:r>
        <w:tab/>
      </w:r>
      <w:r>
        <w:tab/>
      </w:r>
      <w:r>
        <w:tab/>
        <w:t>Die Flamme erlischt, nachdem sich das entstehende Gas im Becherglas au</w:t>
      </w:r>
      <w:r>
        <w:t>s</w:t>
      </w:r>
      <w:r>
        <w:t>gebreitet hat.</w:t>
      </w:r>
    </w:p>
    <w:p w:rsidR="007A3226" w:rsidRDefault="007A3226" w:rsidP="007A3226">
      <w:pPr>
        <w:keepNext/>
        <w:tabs>
          <w:tab w:val="left" w:pos="1701"/>
          <w:tab w:val="left" w:pos="1985"/>
        </w:tabs>
        <w:spacing w:after="0"/>
        <w:ind w:left="1980" w:hanging="1980"/>
        <w:jc w:val="center"/>
      </w:pPr>
      <w:r>
        <w:rPr>
          <w:noProof/>
          <w:lang w:eastAsia="de-DE"/>
        </w:rPr>
        <w:drawing>
          <wp:inline distT="0" distB="0" distL="0" distR="0">
            <wp:extent cx="928999" cy="1260000"/>
            <wp:effectExtent l="19050" t="0" r="4451" b="0"/>
            <wp:docPr id="59" name="Bild 35" descr="C:\Users\Dennis Roggenkämper\AppData\Local\Microsoft\Windows\Temporary Internet Files\Content.Word\IMG_2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Dennis Roggenkämper\AppData\Local\Microsoft\Windows\Temporary Internet Files\Content.Word\IMG_2205.jpg"/>
                    <pic:cNvPicPr>
                      <a:picLocks noChangeAspect="1" noChangeArrowheads="1"/>
                    </pic:cNvPicPr>
                  </pic:nvPicPr>
                  <pic:blipFill>
                    <a:blip r:embed="rId5" cstate="print"/>
                    <a:srcRect r="3140"/>
                    <a:stretch>
                      <a:fillRect/>
                    </a:stretch>
                  </pic:blipFill>
                  <pic:spPr bwMode="auto">
                    <a:xfrm>
                      <a:off x="0" y="0"/>
                      <a:ext cx="928999" cy="1260000"/>
                    </a:xfrm>
                    <a:prstGeom prst="rect">
                      <a:avLst/>
                    </a:prstGeom>
                    <a:noFill/>
                    <a:ln w="9525">
                      <a:noFill/>
                      <a:miter lim="800000"/>
                      <a:headEnd/>
                      <a:tailEnd/>
                    </a:ln>
                  </pic:spPr>
                </pic:pic>
              </a:graphicData>
            </a:graphic>
          </wp:inline>
        </w:drawing>
      </w:r>
      <w:r>
        <w:rPr>
          <w:noProof/>
          <w:lang w:eastAsia="de-DE"/>
        </w:rPr>
        <w:drawing>
          <wp:inline distT="0" distB="0" distL="0" distR="0">
            <wp:extent cx="1260000" cy="970317"/>
            <wp:effectExtent l="0" t="152400" r="0" b="134583"/>
            <wp:docPr id="32" name="Bild 32" descr="C:\Users\Dennis Roggenkämper\AppData\Local\Microsoft\Windows\Temporary Internet Files\Content.Word\IMG_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nnis Roggenkämper\AppData\Local\Microsoft\Windows\Temporary Internet Files\Content.Word\IMG_2207.jpg"/>
                    <pic:cNvPicPr>
                      <a:picLocks noChangeAspect="1" noChangeArrowheads="1"/>
                    </pic:cNvPicPr>
                  </pic:nvPicPr>
                  <pic:blipFill>
                    <a:blip r:embed="rId6" cstate="print"/>
                    <a:srcRect l="23559" t="30843" r="23632" b="16456"/>
                    <a:stretch>
                      <a:fillRect/>
                    </a:stretch>
                  </pic:blipFill>
                  <pic:spPr bwMode="auto">
                    <a:xfrm rot="5400000">
                      <a:off x="0" y="0"/>
                      <a:ext cx="1260000" cy="970317"/>
                    </a:xfrm>
                    <a:prstGeom prst="rect">
                      <a:avLst/>
                    </a:prstGeom>
                    <a:noFill/>
                    <a:ln w="9525">
                      <a:noFill/>
                      <a:miter lim="800000"/>
                      <a:headEnd/>
                      <a:tailEnd/>
                    </a:ln>
                  </pic:spPr>
                </pic:pic>
              </a:graphicData>
            </a:graphic>
          </wp:inline>
        </w:drawing>
      </w:r>
    </w:p>
    <w:p w:rsidR="007A3226" w:rsidRPr="00247452" w:rsidRDefault="007A3226" w:rsidP="007A3226">
      <w:pPr>
        <w:pStyle w:val="Beschriftung"/>
        <w:spacing w:after="0" w:line="360" w:lineRule="auto"/>
        <w:jc w:val="center"/>
      </w:pPr>
      <w:r>
        <w:t>Abb. 2</w:t>
      </w:r>
      <w:r w:rsidRPr="00247452">
        <w:t xml:space="preserve"> – </w:t>
      </w:r>
      <w:r w:rsidRPr="00247452">
        <w:rPr>
          <w:noProof/>
        </w:rPr>
        <w:t>Erlischen eines Teelichts in CO</w:t>
      </w:r>
      <w:r w:rsidRPr="00247452">
        <w:rPr>
          <w:noProof/>
          <w:vertAlign w:val="subscript"/>
        </w:rPr>
        <w:t>2</w:t>
      </w:r>
      <w:r w:rsidRPr="00247452">
        <w:rPr>
          <w:noProof/>
        </w:rPr>
        <w:t>-Atmosphäre.</w:t>
      </w:r>
    </w:p>
    <w:p w:rsidR="007A3226" w:rsidRPr="009C5A8F" w:rsidRDefault="007A3226" w:rsidP="007A3226">
      <w:pPr>
        <w:tabs>
          <w:tab w:val="left" w:pos="1701"/>
          <w:tab w:val="left" w:pos="1985"/>
        </w:tabs>
        <w:ind w:left="1985" w:hanging="1985"/>
      </w:pPr>
      <w:r>
        <w:t>Deutung:</w:t>
      </w:r>
      <w:r>
        <w:tab/>
      </w:r>
      <w:r>
        <w:tab/>
        <w:t>Durch Zugabe von Wasser zum Brausepulver entsteht Kohlenstoffdioxid, das die Luft aus dem Becherglas verdrängt und die Flamme der Kerze e</w:t>
      </w:r>
      <w:r>
        <w:t>r</w:t>
      </w:r>
      <w:r>
        <w:t>stickt.</w:t>
      </w:r>
    </w:p>
    <w:p w:rsidR="007A3226" w:rsidRDefault="007A3226" w:rsidP="007A3226">
      <w:pPr>
        <w:ind w:left="1985" w:hanging="1985"/>
        <w:jc w:val="left"/>
      </w:pPr>
      <w:r>
        <w:t>Entsorgung:</w:t>
      </w:r>
      <w:r>
        <w:tab/>
        <w:t>Die Reaktionsprodukte können werden im Abfluss entsorgt.</w:t>
      </w:r>
    </w:p>
    <w:p w:rsidR="002D0ED9" w:rsidRDefault="007A3226" w:rsidP="007A3226">
      <w:pPr>
        <w:ind w:left="1985" w:hanging="1985"/>
      </w:pPr>
      <w:r w:rsidRPr="0051295B">
        <w:rPr>
          <w:rFonts w:eastAsiaTheme="minorEastAsia"/>
          <w:noProof/>
          <w:lang w:eastAsia="de-DE"/>
        </w:rPr>
        <w:pict>
          <v:shapetype id="_x0000_t202" coordsize="21600,21600" o:spt="202" path="m,l,21600r21600,l21600,xe">
            <v:stroke joinstyle="miter"/>
            <v:path gradientshapeok="t" o:connecttype="rect"/>
          </v:shapetype>
          <v:shape id="_x0000_s1026" type="#_x0000_t202" style="position:absolute;left:0;text-align:left;margin-left:2.75pt;margin-top:52.7pt;width:456.25pt;height:230.25pt;z-index:251660288;mso-position-horizontal-relative:margin;mso-width-relative:margin;mso-height-relative:margin" strokecolor="#c0504d" strokeweight="1pt">
            <v:stroke dashstyle="dash"/>
            <v:shadow color="#868686"/>
            <v:textbox style="mso-next-textbox:#_x0000_s1026">
              <w:txbxContent>
                <w:p w:rsidR="007A3226" w:rsidRDefault="007A3226" w:rsidP="007A3226">
                  <w:r>
                    <w:t>In der Literatur wird das Experiment oftmals ohne Stopfen oder ohne Porzellantiegel b</w:t>
                  </w:r>
                  <w:r>
                    <w:t>e</w:t>
                  </w:r>
                  <w:r>
                    <w:t>schrieben. Folglich würde das Teelicht direkt auf dem Brausepulver stehen. Fälschlicherweise könnten die SuS dann Fehlvorstellungen entwickeln, dass das aufschäumende Pulver die Flamme erlischt, wenn dieses mit dem Teelicht direkt in Berührung kommt.</w:t>
                  </w:r>
                </w:p>
                <w:p w:rsidR="007A3226" w:rsidRDefault="007A3226" w:rsidP="007A3226">
                  <w:pPr>
                    <w:spacing w:after="0"/>
                  </w:pPr>
                  <w:r>
                    <w:t>Theoretische Hintergründe (nicht für SuS):</w:t>
                  </w:r>
                </w:p>
                <w:p w:rsidR="007A3226" w:rsidRDefault="007A3226" w:rsidP="007A3226">
                  <w:pPr>
                    <w:tabs>
                      <w:tab w:val="left" w:pos="1701"/>
                    </w:tabs>
                    <w:spacing w:after="0"/>
                  </w:pPr>
                  <w:r>
                    <w:t xml:space="preserve">Brausepulver besteht u.a. aus Natriumhydrogencarbonat und </w:t>
                  </w:r>
                  <w:proofErr w:type="spellStart"/>
                  <w:r>
                    <w:t>Citronen</w:t>
                  </w:r>
                  <w:proofErr w:type="spellEnd"/>
                </w:p>
                <w:p w:rsidR="007A3226" w:rsidRDefault="007A3226" w:rsidP="007A3226">
                  <w:pPr>
                    <w:tabs>
                      <w:tab w:val="left" w:pos="1701"/>
                    </w:tabs>
                    <w:spacing w:after="0"/>
                  </w:pPr>
                  <w:r>
                    <w:t>säure. Durch die Zugabe von Wasser zum Brausepulver, wird die Reaktion zwischen dem Na</w:t>
                  </w:r>
                  <w:r>
                    <w:t>t</w:t>
                  </w:r>
                  <w:r>
                    <w:t xml:space="preserve">riumhydrogencarbonat und der </w:t>
                  </w:r>
                  <w:proofErr w:type="spellStart"/>
                  <w:r>
                    <w:t>Citronensäure</w:t>
                  </w:r>
                  <w:proofErr w:type="spellEnd"/>
                  <w:r>
                    <w:t xml:space="preserve"> (HX) </w:t>
                  </w:r>
                  <w:proofErr w:type="spellStart"/>
                  <w:r>
                    <w:t>initiert</w:t>
                  </w:r>
                  <w:proofErr w:type="spellEnd"/>
                  <w:r>
                    <w:t>. Dabei sich dabei entstehende Kohlenstoffdioxid ist schwerer als die anderen Gase der Luft und verdrängt diese aus dem Becherglas. Dadurch, dass die Sauerstoffzufuhr unterbrochen wird, erlischt die Flamme des Teelichts.</w:t>
                  </w:r>
                </w:p>
                <w:p w:rsidR="007A3226" w:rsidRPr="009C5A8F" w:rsidRDefault="007A3226" w:rsidP="007A3226">
                  <w:pPr>
                    <w:rPr>
                      <w:lang w:val="en-US"/>
                    </w:rPr>
                  </w:pPr>
                  <w:r w:rsidRPr="00D018F8">
                    <w:rPr>
                      <w:lang w:val="en-US"/>
                    </w:rPr>
                    <w:t>Na</w:t>
                  </w:r>
                  <w:r w:rsidRPr="00D84047">
                    <w:rPr>
                      <w:lang w:val="en-US"/>
                    </w:rPr>
                    <w:t>H</w:t>
                  </w:r>
                  <w:r w:rsidRPr="00D018F8">
                    <w:rPr>
                      <w:lang w:val="en-US"/>
                    </w:rPr>
                    <w:t>CO</w:t>
                  </w:r>
                  <w:r w:rsidRPr="00D018F8">
                    <w:rPr>
                      <w:vertAlign w:val="subscript"/>
                      <w:lang w:val="en-US"/>
                    </w:rPr>
                    <w:t>3</w:t>
                  </w:r>
                  <w:r w:rsidRPr="00D018F8">
                    <w:rPr>
                      <w:lang w:val="en-US"/>
                    </w:rPr>
                    <w:t xml:space="preserve"> </w:t>
                  </w:r>
                  <w:r w:rsidRPr="00D018F8">
                    <w:rPr>
                      <w:vertAlign w:val="subscript"/>
                      <w:lang w:val="en-US"/>
                    </w:rPr>
                    <w:t>(s)</w:t>
                  </w:r>
                  <w:r>
                    <w:rPr>
                      <w:lang w:val="en-US"/>
                    </w:rPr>
                    <w:t xml:space="preserve">   </w:t>
                  </w:r>
                  <w:r w:rsidRPr="00D018F8">
                    <w:rPr>
                      <w:lang w:val="en-US"/>
                    </w:rPr>
                    <w:t xml:space="preserve">+ </w:t>
                  </w:r>
                  <w:r>
                    <w:rPr>
                      <w:lang w:val="en-US"/>
                    </w:rPr>
                    <w:t xml:space="preserve">  </w:t>
                  </w:r>
                  <w:r w:rsidRPr="00D018F8">
                    <w:rPr>
                      <w:lang w:val="en-US"/>
                    </w:rPr>
                    <w:t>H</w:t>
                  </w:r>
                  <w:r>
                    <w:rPr>
                      <w:lang w:val="en-US"/>
                    </w:rPr>
                    <w:t>X</w:t>
                  </w:r>
                  <w:r w:rsidRPr="00D018F8">
                    <w:rPr>
                      <w:lang w:val="en-US"/>
                    </w:rPr>
                    <w:t xml:space="preserve"> </w:t>
                  </w:r>
                  <w:r w:rsidRPr="00D018F8">
                    <w:rPr>
                      <w:vertAlign w:val="subscript"/>
                      <w:lang w:val="en-US"/>
                    </w:rPr>
                    <w:t>(</w:t>
                  </w:r>
                  <w:r>
                    <w:rPr>
                      <w:vertAlign w:val="subscript"/>
                      <w:lang w:val="en-US"/>
                    </w:rPr>
                    <w:t>s</w:t>
                  </w:r>
                  <w:r w:rsidRPr="00D018F8">
                    <w:rPr>
                      <w:vertAlign w:val="subscript"/>
                      <w:lang w:val="en-US"/>
                    </w:rPr>
                    <w:t>)</w:t>
                  </w:r>
                  <w:r>
                    <w:rPr>
                      <w:lang w:val="en-US"/>
                    </w:rPr>
                    <w:t xml:space="preserve">   </w:t>
                  </w:r>
                  <w:r w:rsidRPr="00D018F8">
                    <w:rPr>
                      <w:lang w:val="en-US"/>
                    </w:rPr>
                    <w:t xml:space="preserve">+ </w:t>
                  </w:r>
                  <w:r>
                    <w:rPr>
                      <w:lang w:val="en-US"/>
                    </w:rPr>
                    <w:t xml:space="preserve">  </w:t>
                  </w:r>
                  <w:r w:rsidRPr="00D018F8">
                    <w:rPr>
                      <w:lang w:val="en-US"/>
                    </w:rPr>
                    <w:t>H</w:t>
                  </w:r>
                  <w:r w:rsidRPr="00D018F8">
                    <w:rPr>
                      <w:vertAlign w:val="subscript"/>
                      <w:lang w:val="en-US"/>
                    </w:rPr>
                    <w:t>2</w:t>
                  </w:r>
                  <w:r w:rsidRPr="00D018F8">
                    <w:rPr>
                      <w:lang w:val="en-US"/>
                    </w:rPr>
                    <w:t>O</w:t>
                  </w:r>
                  <w:r>
                    <w:rPr>
                      <w:lang w:val="en-US"/>
                    </w:rPr>
                    <w:t xml:space="preserve"> </w:t>
                  </w:r>
                  <w:r w:rsidRPr="00D018F8">
                    <w:rPr>
                      <w:vertAlign w:val="subscript"/>
                      <w:lang w:val="en-US"/>
                    </w:rPr>
                    <w:t>(</w:t>
                  </w:r>
                  <w:r>
                    <w:rPr>
                      <w:vertAlign w:val="subscript"/>
                      <w:lang w:val="en-US"/>
                    </w:rPr>
                    <w:t>l</w:t>
                  </w:r>
                  <w:r w:rsidRPr="00D018F8">
                    <w:rPr>
                      <w:vertAlign w:val="subscript"/>
                      <w:lang w:val="en-US"/>
                    </w:rPr>
                    <w:t>)</w:t>
                  </w:r>
                  <w:r w:rsidRPr="00D018F8">
                    <w:rPr>
                      <w:lang w:val="en-US"/>
                    </w:rPr>
                    <w:t xml:space="preserve"> </w:t>
                  </w:r>
                  <w:r>
                    <w:rPr>
                      <w:lang w:val="en-US"/>
                    </w:rPr>
                    <w:t xml:space="preserve">  </w:t>
                  </w:r>
                  <w:r w:rsidRPr="00D018F8">
                    <w:rPr>
                      <w:lang w:val="en-US"/>
                    </w:rPr>
                    <w:t xml:space="preserve">→ </w:t>
                  </w:r>
                  <w:r>
                    <w:rPr>
                      <w:lang w:val="en-US"/>
                    </w:rPr>
                    <w:t xml:space="preserve">  </w:t>
                  </w:r>
                  <w:proofErr w:type="spellStart"/>
                  <w:r w:rsidRPr="00D018F8">
                    <w:rPr>
                      <w:lang w:val="en-US"/>
                    </w:rPr>
                    <w:t>Na</w:t>
                  </w:r>
                  <w:r>
                    <w:rPr>
                      <w:lang w:val="en-US"/>
                    </w:rPr>
                    <w:t>X</w:t>
                  </w:r>
                  <w:proofErr w:type="spellEnd"/>
                  <w:r>
                    <w:rPr>
                      <w:lang w:val="en-US"/>
                    </w:rPr>
                    <w:t xml:space="preserve"> </w:t>
                  </w:r>
                  <w:r w:rsidRPr="00D018F8">
                    <w:rPr>
                      <w:vertAlign w:val="subscript"/>
                      <w:lang w:val="en-US"/>
                    </w:rPr>
                    <w:t>(s)</w:t>
                  </w:r>
                  <w:r w:rsidRPr="00D018F8">
                    <w:rPr>
                      <w:lang w:val="en-US"/>
                    </w:rPr>
                    <w:t xml:space="preserve"> </w:t>
                  </w:r>
                  <w:r>
                    <w:rPr>
                      <w:lang w:val="en-US"/>
                    </w:rPr>
                    <w:t xml:space="preserve">  </w:t>
                  </w:r>
                  <w:r w:rsidRPr="00D018F8">
                    <w:rPr>
                      <w:lang w:val="en-US"/>
                    </w:rPr>
                    <w:t xml:space="preserve">+ </w:t>
                  </w:r>
                  <w:r>
                    <w:rPr>
                      <w:lang w:val="en-US"/>
                    </w:rPr>
                    <w:t xml:space="preserve">  2 </w:t>
                  </w:r>
                  <w:r w:rsidRPr="00D018F8">
                    <w:rPr>
                      <w:lang w:val="en-US"/>
                    </w:rPr>
                    <w:t>H</w:t>
                  </w:r>
                  <w:r w:rsidRPr="00D018F8">
                    <w:rPr>
                      <w:vertAlign w:val="subscript"/>
                      <w:lang w:val="en-US"/>
                    </w:rPr>
                    <w:t>2</w:t>
                  </w:r>
                  <w:r w:rsidRPr="00D018F8">
                    <w:rPr>
                      <w:lang w:val="en-US"/>
                    </w:rPr>
                    <w:t>O</w:t>
                  </w:r>
                  <w:r>
                    <w:rPr>
                      <w:lang w:val="en-US"/>
                    </w:rPr>
                    <w:t xml:space="preserve"> </w:t>
                  </w:r>
                  <w:r w:rsidRPr="00D018F8">
                    <w:rPr>
                      <w:vertAlign w:val="subscript"/>
                      <w:lang w:val="en-US"/>
                    </w:rPr>
                    <w:t>(</w:t>
                  </w:r>
                  <w:r>
                    <w:rPr>
                      <w:vertAlign w:val="subscript"/>
                      <w:lang w:val="en-US"/>
                    </w:rPr>
                    <w:t>l</w:t>
                  </w:r>
                  <w:r w:rsidRPr="00D018F8">
                    <w:rPr>
                      <w:vertAlign w:val="subscript"/>
                      <w:lang w:val="en-US"/>
                    </w:rPr>
                    <w:t>)</w:t>
                  </w:r>
                  <w:r w:rsidRPr="00D018F8">
                    <w:rPr>
                      <w:lang w:val="en-US"/>
                    </w:rPr>
                    <w:t xml:space="preserve"> </w:t>
                  </w:r>
                  <w:r>
                    <w:rPr>
                      <w:lang w:val="en-US"/>
                    </w:rPr>
                    <w:t xml:space="preserve">  </w:t>
                  </w:r>
                  <w:r w:rsidRPr="00D018F8">
                    <w:rPr>
                      <w:lang w:val="en-US"/>
                    </w:rPr>
                    <w:t xml:space="preserve">+ </w:t>
                  </w:r>
                  <w:r>
                    <w:rPr>
                      <w:lang w:val="en-US"/>
                    </w:rPr>
                    <w:t xml:space="preserve">  </w:t>
                  </w:r>
                  <w:r w:rsidRPr="00D018F8">
                    <w:rPr>
                      <w:lang w:val="en-US"/>
                    </w:rPr>
                    <w:t>CO</w:t>
                  </w:r>
                  <w:r w:rsidRPr="00D018F8">
                    <w:rPr>
                      <w:vertAlign w:val="subscript"/>
                      <w:lang w:val="en-US"/>
                    </w:rPr>
                    <w:t>2</w:t>
                  </w:r>
                  <w:r w:rsidRPr="00D018F8">
                    <w:rPr>
                      <w:lang w:val="en-US"/>
                    </w:rPr>
                    <w:t xml:space="preserve"> </w:t>
                  </w:r>
                  <w:r w:rsidRPr="00D018F8">
                    <w:rPr>
                      <w:vertAlign w:val="subscript"/>
                      <w:lang w:val="en-US"/>
                    </w:rPr>
                    <w:t>(</w:t>
                  </w:r>
                  <w:r>
                    <w:rPr>
                      <w:vertAlign w:val="subscript"/>
                      <w:lang w:val="en-US"/>
                    </w:rPr>
                    <w:t>g</w:t>
                  </w:r>
                  <w:r w:rsidRPr="00D018F8">
                    <w:rPr>
                      <w:vertAlign w:val="subscript"/>
                      <w:lang w:val="en-US"/>
                    </w:rPr>
                    <w:t>)</w:t>
                  </w:r>
                  <w:r>
                    <w:rPr>
                      <w:lang w:val="en-US"/>
                    </w:rPr>
                    <w:t xml:space="preserve">   </w:t>
                  </w:r>
                </w:p>
              </w:txbxContent>
            </v:textbox>
            <w10:wrap type="square" anchorx="margin"/>
          </v:shape>
        </w:pict>
      </w:r>
      <w:r>
        <w:t>Literatur:</w:t>
      </w:r>
      <w:r>
        <w:tab/>
      </w:r>
      <w:r w:rsidRPr="007A3226">
        <w:rPr>
          <w:rFonts w:ascii="Cambria Math" w:eastAsia="Times New Roman" w:hAnsi="Cambria Math" w:cs="Times New Roman"/>
          <w:color w:val="auto"/>
          <w:szCs w:val="24"/>
          <w:lang w:eastAsia="de-DE"/>
        </w:rPr>
        <w:t xml:space="preserve">U. Berger, D. Kersten, </w:t>
      </w:r>
      <w:r w:rsidRPr="007A3226">
        <w:rPr>
          <w:rFonts w:ascii="Cambria Math" w:eastAsia="Times New Roman" w:hAnsi="Cambria Math" w:cs="Times New Roman"/>
          <w:i/>
          <w:iCs/>
          <w:color w:val="auto"/>
          <w:szCs w:val="24"/>
          <w:lang w:eastAsia="de-DE"/>
        </w:rPr>
        <w:t>Die Chemie-Werkstatt: spannende Experimente ganz ohne Labor</w:t>
      </w:r>
      <w:r w:rsidRPr="007A3226">
        <w:rPr>
          <w:rFonts w:ascii="Cambria Math" w:eastAsia="Times New Roman" w:hAnsi="Cambria Math" w:cs="Times New Roman"/>
          <w:color w:val="auto"/>
          <w:szCs w:val="24"/>
          <w:lang w:eastAsia="de-DE"/>
        </w:rPr>
        <w:t xml:space="preserve">, </w:t>
      </w:r>
      <w:proofErr w:type="spellStart"/>
      <w:r w:rsidRPr="007A3226">
        <w:rPr>
          <w:rFonts w:ascii="Cambria Math" w:eastAsia="Times New Roman" w:hAnsi="Cambria Math" w:cs="Times New Roman"/>
          <w:color w:val="auto"/>
          <w:szCs w:val="24"/>
          <w:lang w:eastAsia="de-DE"/>
        </w:rPr>
        <w:t>Velber</w:t>
      </w:r>
      <w:proofErr w:type="spellEnd"/>
      <w:r w:rsidRPr="007A3226">
        <w:rPr>
          <w:rFonts w:ascii="Cambria Math" w:eastAsia="Times New Roman" w:hAnsi="Cambria Math" w:cs="Times New Roman"/>
          <w:color w:val="auto"/>
          <w:szCs w:val="24"/>
          <w:lang w:eastAsia="de-DE"/>
        </w:rPr>
        <w:t xml:space="preserve">-Verl, Freiburg im Breisgau, </w:t>
      </w:r>
      <w:r w:rsidRPr="007A3226">
        <w:rPr>
          <w:rFonts w:ascii="Cambria Math" w:eastAsia="Times New Roman" w:hAnsi="Cambria Math" w:cs="Times New Roman"/>
          <w:b/>
          <w:bCs/>
          <w:color w:val="auto"/>
          <w:szCs w:val="24"/>
          <w:lang w:eastAsia="de-DE"/>
        </w:rPr>
        <w:t>2010</w:t>
      </w:r>
      <w:r w:rsidRPr="007A3226">
        <w:rPr>
          <w:rFonts w:ascii="Cambria Math" w:eastAsia="Times New Roman" w:hAnsi="Cambria Math" w:cs="Times New Roman"/>
          <w:color w:val="auto"/>
          <w:szCs w:val="24"/>
          <w:lang w:eastAsia="de-DE"/>
        </w:rPr>
        <w:t>. S. 24.</w:t>
      </w:r>
    </w:p>
    <w:sectPr w:rsidR="002D0ED9" w:rsidSect="002D0ED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123FF"/>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A3226"/>
    <w:rsid w:val="00131F67"/>
    <w:rsid w:val="002D0ED9"/>
    <w:rsid w:val="003514D8"/>
    <w:rsid w:val="00717EFF"/>
    <w:rsid w:val="007A3226"/>
    <w:rsid w:val="007A4199"/>
    <w:rsid w:val="007E31DB"/>
    <w:rsid w:val="00D536A8"/>
    <w:rsid w:val="00EE7EF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mallCaps/>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A3226"/>
    <w:pPr>
      <w:spacing w:line="360" w:lineRule="auto"/>
      <w:jc w:val="both"/>
    </w:pPr>
    <w:rPr>
      <w:rFonts w:ascii="Cambria" w:hAnsi="Cambria" w:cstheme="minorBidi"/>
      <w:smallCaps w:val="0"/>
      <w:color w:val="1D1B11" w:themeColor="background2" w:themeShade="1A"/>
      <w:sz w:val="22"/>
      <w:szCs w:val="22"/>
    </w:rPr>
  </w:style>
  <w:style w:type="paragraph" w:styleId="berschrift1">
    <w:name w:val="heading 1"/>
    <w:basedOn w:val="Standard"/>
    <w:next w:val="Standard"/>
    <w:link w:val="berschrift1Zchn"/>
    <w:uiPriority w:val="9"/>
    <w:qFormat/>
    <w:rsid w:val="00EE7EF2"/>
    <w:pPr>
      <w:keepNext/>
      <w:keepLines/>
      <w:numPr>
        <w:numId w:val="10"/>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E7EF2"/>
    <w:pPr>
      <w:keepNext/>
      <w:keepLines/>
      <w:numPr>
        <w:ilvl w:val="1"/>
        <w:numId w:val="10"/>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EE7EF2"/>
    <w:pPr>
      <w:keepNext/>
      <w:keepLines/>
      <w:numPr>
        <w:ilvl w:val="2"/>
        <w:numId w:val="10"/>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EE7EF2"/>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EE7EF2"/>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EE7EF2"/>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EE7EF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E7EF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E7EF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7EF2"/>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EE7EF2"/>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EE7EF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EE7EF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EE7EF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EE7EF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EE7E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E7E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E7EF2"/>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EE7EF2"/>
    <w:pPr>
      <w:spacing w:after="100"/>
    </w:pPr>
    <w:rPr>
      <w:rFonts w:eastAsiaTheme="minorEastAsia"/>
    </w:rPr>
  </w:style>
  <w:style w:type="paragraph" w:styleId="Verzeichnis2">
    <w:name w:val="toc 2"/>
    <w:basedOn w:val="Standard"/>
    <w:next w:val="Standard"/>
    <w:autoRedefine/>
    <w:uiPriority w:val="39"/>
    <w:unhideWhenUsed/>
    <w:qFormat/>
    <w:rsid w:val="00EE7EF2"/>
    <w:pPr>
      <w:spacing w:after="100"/>
      <w:ind w:left="220"/>
    </w:pPr>
    <w:rPr>
      <w:rFonts w:eastAsiaTheme="minorEastAsia"/>
    </w:rPr>
  </w:style>
  <w:style w:type="paragraph" w:styleId="Verzeichnis3">
    <w:name w:val="toc 3"/>
    <w:basedOn w:val="Standard"/>
    <w:next w:val="Standard"/>
    <w:autoRedefine/>
    <w:uiPriority w:val="39"/>
    <w:unhideWhenUsed/>
    <w:qFormat/>
    <w:rsid w:val="00EE7EF2"/>
    <w:pPr>
      <w:spacing w:after="100"/>
      <w:ind w:left="440"/>
    </w:pPr>
    <w:rPr>
      <w:rFonts w:eastAsiaTheme="minorEastAsia"/>
    </w:rPr>
  </w:style>
  <w:style w:type="paragraph" w:styleId="Listenabsatz">
    <w:name w:val="List Paragraph"/>
    <w:basedOn w:val="Standard"/>
    <w:uiPriority w:val="34"/>
    <w:qFormat/>
    <w:rsid w:val="00EE7EF2"/>
    <w:pPr>
      <w:ind w:left="720"/>
      <w:contextualSpacing/>
    </w:pPr>
  </w:style>
  <w:style w:type="paragraph" w:styleId="Inhaltsverzeichnisberschrift">
    <w:name w:val="TOC Heading"/>
    <w:basedOn w:val="berschrift1"/>
    <w:next w:val="Standard"/>
    <w:uiPriority w:val="39"/>
    <w:semiHidden/>
    <w:unhideWhenUsed/>
    <w:qFormat/>
    <w:rsid w:val="00EE7EF2"/>
    <w:pPr>
      <w:numPr>
        <w:numId w:val="0"/>
      </w:numPr>
      <w:outlineLvl w:val="9"/>
    </w:pPr>
  </w:style>
  <w:style w:type="paragraph" w:styleId="Beschriftung">
    <w:name w:val="caption"/>
    <w:basedOn w:val="Standard"/>
    <w:next w:val="Standard"/>
    <w:uiPriority w:val="35"/>
    <w:unhideWhenUsed/>
    <w:qFormat/>
    <w:rsid w:val="007A3226"/>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7A32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A3226"/>
    <w:rPr>
      <w:rFonts w:ascii="Tahoma" w:hAnsi="Tahoma" w:cs="Tahoma"/>
      <w:smallCaps w:val="0"/>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906</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Roggenkämper</dc:creator>
  <cp:lastModifiedBy>Dennis Roggenkämper</cp:lastModifiedBy>
  <cp:revision>1</cp:revision>
  <dcterms:created xsi:type="dcterms:W3CDTF">2015-08-18T13:17:00Z</dcterms:created>
  <dcterms:modified xsi:type="dcterms:W3CDTF">2015-08-18T13:20:00Z</dcterms:modified>
</cp:coreProperties>
</file>