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4D" w:rsidRDefault="001D244D" w:rsidP="001D244D">
      <w:pPr>
        <w:pStyle w:val="berschrift1"/>
      </w:pPr>
      <w:bookmarkStart w:id="0" w:name="_Toc42577659416"/>
      <w:r>
        <w:rPr>
          <w:color w:val="00000A"/>
        </w:rPr>
        <w:t xml:space="preserve">Lehrerversuch – </w:t>
      </w:r>
      <w:bookmarkEnd w:id="0"/>
      <w:r>
        <w:rPr>
          <w:color w:val="00000A"/>
        </w:rPr>
        <w:t>Bau eines Thermometer</w:t>
      </w:r>
      <w:r>
        <w:rPr>
          <w:noProof/>
          <w:lang w:eastAsia="de-DE"/>
        </w:rPr>
        <mc:AlternateContent>
          <mc:Choice Requires="wps">
            <w:drawing>
              <wp:anchor distT="0" distB="0" distL="114300" distR="114300" simplePos="0" relativeHeight="251659264" behindDoc="0" locked="0" layoutInCell="1" allowOverlap="1" wp14:anchorId="6926A7B1" wp14:editId="0AFC103D">
                <wp:simplePos x="0" y="0"/>
                <wp:positionH relativeFrom="column">
                  <wp:posOffset>-20320</wp:posOffset>
                </wp:positionH>
                <wp:positionV relativeFrom="paragraph">
                  <wp:posOffset>720725</wp:posOffset>
                </wp:positionV>
                <wp:extent cx="5808345" cy="913765"/>
                <wp:effectExtent l="0" t="0" r="21590" b="21590"/>
                <wp:wrapSquare wrapText="bothSides"/>
                <wp:docPr id="5" name="Rahmen2"/>
                <wp:cNvGraphicFramePr/>
                <a:graphic xmlns:a="http://schemas.openxmlformats.org/drawingml/2006/main">
                  <a:graphicData uri="http://schemas.microsoft.com/office/word/2010/wordprocessingShape">
                    <wps:wsp>
                      <wps:cNvSpPr txBox="1"/>
                      <wps:spPr>
                        <a:xfrm>
                          <a:off x="0" y="0"/>
                          <a:ext cx="5808345" cy="913765"/>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1D244D" w:rsidRDefault="001D244D" w:rsidP="001D244D">
                            <w:pPr>
                              <w:pStyle w:val="Rahmeninhalt"/>
                              <w:spacing w:after="0"/>
                            </w:pPr>
                            <w:r>
                              <w:rPr>
                                <w:color w:val="00000A"/>
                              </w:rPr>
                              <w:t>In diesem Versuch soll die Volumenvergrößerung einer Flüssigkeit in Abhängigkeit der Temperatur soll verdeutlicht werden. Zudem kann die Unterschiedlichkeit der Volumenvergrößerung von verschiedenen Flüssigkeiten demonstriert werden.</w:t>
                            </w:r>
                          </w:p>
                        </w:txbxContent>
                      </wps:txbx>
                      <wps:bodyPr lIns="53975" tIns="53975" rIns="53975" bIns="53975" anchor="t">
                        <a:noAutofit/>
                      </wps:bodyPr>
                    </wps:wsp>
                  </a:graphicData>
                </a:graphic>
              </wp:anchor>
            </w:drawing>
          </mc:Choice>
          <mc:Fallback>
            <w:pict>
              <v:shapetype id="_x0000_t202" coordsize="21600,21600" o:spt="202" path="m,l,21600r21600,l21600,xe">
                <v:stroke joinstyle="miter"/>
                <v:path gradientshapeok="t" o:connecttype="rect"/>
              </v:shapetype>
              <v:shape id="Rahmen2" o:spid="_x0000_s1026" type="#_x0000_t202" style="position:absolute;left:0;text-align:left;margin-left:-1.6pt;margin-top:56.75pt;width:457.35pt;height:7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" strokecolor="#4bacc6" strokeweight="1pt">
                <v:stroke dashstyle="dash"/>
                <v:shadow on="t" color="#868686" origin=",.5" offset=".59869mm,.59869mm"/>
                <v:textbox inset="4.25pt,4.25pt,4.25pt,4.25pt">
                  <w:txbxContent>
                    <w:p w:rsidR="001D244D" w:rsidRDefault="001D244D" w:rsidP="001D244D">
                      <w:pPr>
                        <w:pStyle w:val="Rahmeninhalt"/>
                        <w:spacing w:after="0"/>
                      </w:pPr>
                      <w:r>
                        <w:rPr>
                          <w:color w:val="00000A"/>
                        </w:rPr>
                        <w:t>In diesem Versuch soll die Volumenvergrößerung einer Flüssigkeit in Abhängigkeit der Temperatur soll verdeutlicht werden. Zudem kann die Unterschiedlichkeit der Volumenvergrößerung von verschiedenen Flüssigkeiten demonstriert werden.</w:t>
                      </w:r>
                    </w:p>
                  </w:txbxContent>
                </v:textbox>
                <w10:wrap type="square"/>
              </v:shape>
            </w:pict>
          </mc:Fallback>
        </mc:AlternateContent>
      </w:r>
    </w:p>
    <w:p w:rsidR="001D244D" w:rsidRDefault="001D244D" w:rsidP="001D244D"/>
    <w:tbl>
      <w:tblPr>
        <w:tblpPr w:leftFromText="141" w:rightFromText="141" w:vertAnchor="text" w:horzAnchor="margin" w:tblpY="362"/>
        <w:tblW w:w="9072" w:type="dxa"/>
        <w:tblBorders>
          <w:top w:val="single" w:sz="8" w:space="0" w:color="4F81BD"/>
          <w:left w:val="single" w:sz="8" w:space="0" w:color="4F81BD"/>
          <w:right w:val="single" w:sz="8" w:space="0" w:color="4F81BD"/>
          <w:insideV w:val="single" w:sz="8" w:space="0" w:color="4F81BD"/>
        </w:tblBorders>
        <w:tblCellMar>
          <w:left w:w="-10" w:type="dxa"/>
        </w:tblCellMar>
        <w:tblLook w:val="04A0" w:firstRow="1" w:lastRow="0" w:firstColumn="1" w:lastColumn="0" w:noHBand="0" w:noVBand="1"/>
      </w:tblPr>
      <w:tblGrid>
        <w:gridCol w:w="975"/>
        <w:gridCol w:w="978"/>
        <w:gridCol w:w="986"/>
        <w:gridCol w:w="978"/>
        <w:gridCol w:w="1140"/>
        <w:gridCol w:w="970"/>
        <w:gridCol w:w="945"/>
        <w:gridCol w:w="979"/>
        <w:gridCol w:w="1121"/>
      </w:tblGrid>
      <w:tr w:rsidR="001D244D" w:rsidTr="00933B78">
        <w:tc>
          <w:tcPr>
            <w:tcW w:w="9071" w:type="dxa"/>
            <w:gridSpan w:val="9"/>
            <w:tcBorders>
              <w:top w:val="single" w:sz="8" w:space="0" w:color="4F81BD"/>
              <w:left w:val="single" w:sz="8" w:space="0" w:color="4F81BD"/>
              <w:right w:val="single" w:sz="8" w:space="0" w:color="4F81BD"/>
            </w:tcBorders>
            <w:shd w:val="clear" w:color="auto" w:fill="4F81BD"/>
            <w:tcMar>
              <w:left w:w="-10" w:type="dxa"/>
            </w:tcMar>
            <w:vAlign w:val="center"/>
          </w:tcPr>
          <w:p w:rsidR="001D244D" w:rsidRDefault="001D244D" w:rsidP="00933B78">
            <w:pPr>
              <w:spacing w:after="0"/>
            </w:pPr>
            <w:r>
              <w:rPr>
                <w:b/>
                <w:bCs/>
              </w:rPr>
              <w:t>Gefahrenstoffe</w:t>
            </w:r>
          </w:p>
        </w:tc>
      </w:tr>
      <w:tr w:rsidR="001D244D" w:rsidTr="00933B78">
        <w:tc>
          <w:tcPr>
            <w:tcW w:w="2942"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proofErr w:type="spellStart"/>
            <w:r>
              <w:rPr>
                <w:bCs/>
                <w:color w:val="00000A"/>
                <w:sz w:val="20"/>
                <w:szCs w:val="20"/>
              </w:rPr>
              <w:t>Ethylenglykol</w:t>
            </w:r>
            <w:proofErr w:type="spellEnd"/>
          </w:p>
        </w:tc>
        <w:tc>
          <w:tcPr>
            <w:tcW w:w="3089"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color w:val="00000A"/>
                <w:sz w:val="20"/>
                <w:szCs w:val="20"/>
              </w:rPr>
              <w:t>H: 302-373</w:t>
            </w:r>
          </w:p>
        </w:tc>
        <w:tc>
          <w:tcPr>
            <w:tcW w:w="3040"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color w:val="00000A"/>
                <w:sz w:val="20"/>
                <w:szCs w:val="20"/>
              </w:rPr>
              <w:t xml:space="preserve">P: </w:t>
            </w:r>
            <w:hyperlink r:id="rId7" w:anchor="P-S.C3.A4tze" w:history="1">
              <w:r>
                <w:rPr>
                  <w:rStyle w:val="Internetlink"/>
                  <w:color w:val="00000A"/>
                  <w:sz w:val="20"/>
                  <w:szCs w:val="20"/>
                </w:rPr>
                <w:t>210</w:t>
              </w:r>
            </w:hyperlink>
            <w:r>
              <w:rPr>
                <w:color w:val="00000A"/>
                <w:sz w:val="20"/>
                <w:szCs w:val="20"/>
              </w:rPr>
              <w:t>-​</w:t>
            </w:r>
            <w:hyperlink r:id="rId8" w:anchor="P-S.C3.A4tze" w:history="1">
              <w:r>
                <w:rPr>
                  <w:rStyle w:val="Internetlink"/>
                  <w:color w:val="00000A"/>
                  <w:sz w:val="20"/>
                  <w:szCs w:val="20"/>
                </w:rPr>
                <w:t>302+352</w:t>
              </w:r>
            </w:hyperlink>
          </w:p>
        </w:tc>
      </w:tr>
      <w:tr w:rsidR="001D244D" w:rsidTr="00933B78">
        <w:tc>
          <w:tcPr>
            <w:tcW w:w="2942" w:type="dxa"/>
            <w:gridSpan w:val="3"/>
            <w:tcBorders>
              <w:left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bCs/>
                <w:color w:val="00000A"/>
                <w:sz w:val="20"/>
                <w:szCs w:val="20"/>
              </w:rPr>
              <w:t>Ethanol</w:t>
            </w:r>
          </w:p>
        </w:tc>
        <w:tc>
          <w:tcPr>
            <w:tcW w:w="3089" w:type="dxa"/>
            <w:gridSpan w:val="3"/>
            <w:tcBorders>
              <w:left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color w:val="00000A"/>
                <w:sz w:val="20"/>
                <w:szCs w:val="20"/>
              </w:rPr>
              <w:t xml:space="preserve">H: </w:t>
            </w:r>
            <w:hyperlink r:id="rId9" w:anchor="H-S.C3.A4tze" w:history="1">
              <w:r>
                <w:rPr>
                  <w:rStyle w:val="Internetlink"/>
                  <w:color w:val="00000A"/>
                  <w:sz w:val="20"/>
                  <w:szCs w:val="20"/>
                </w:rPr>
                <w:t>2</w:t>
              </w:r>
            </w:hyperlink>
            <w:r>
              <w:rPr>
                <w:color w:val="00000A"/>
                <w:sz w:val="20"/>
                <w:szCs w:val="20"/>
              </w:rPr>
              <w:t>25</w:t>
            </w:r>
          </w:p>
        </w:tc>
        <w:tc>
          <w:tcPr>
            <w:tcW w:w="3040" w:type="dxa"/>
            <w:gridSpan w:val="3"/>
            <w:tcBorders>
              <w:left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color w:val="00000A"/>
                <w:sz w:val="20"/>
                <w:szCs w:val="20"/>
              </w:rPr>
              <w:t xml:space="preserve">P: </w:t>
            </w:r>
            <w:hyperlink r:id="rId10" w:anchor="P-S.C3.A4tze" w:history="1">
              <w:r>
                <w:rPr>
                  <w:rStyle w:val="Internetlink"/>
                  <w:color w:val="00000A"/>
                  <w:sz w:val="20"/>
                  <w:szCs w:val="20"/>
                </w:rPr>
                <w:t>2</w:t>
              </w:r>
            </w:hyperlink>
            <w:r>
              <w:rPr>
                <w:color w:val="00000A"/>
                <w:sz w:val="20"/>
                <w:szCs w:val="20"/>
              </w:rPr>
              <w:t>10</w:t>
            </w:r>
          </w:p>
        </w:tc>
      </w:tr>
      <w:tr w:rsidR="001D244D" w:rsidTr="00933B78">
        <w:tc>
          <w:tcPr>
            <w:tcW w:w="2942"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bCs/>
                <w:color w:val="00000A"/>
                <w:sz w:val="20"/>
                <w:szCs w:val="20"/>
              </w:rPr>
              <w:t>Methylenblau</w:t>
            </w:r>
          </w:p>
        </w:tc>
        <w:tc>
          <w:tcPr>
            <w:tcW w:w="3089"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color w:val="00000A"/>
                <w:sz w:val="20"/>
                <w:szCs w:val="20"/>
              </w:rPr>
              <w:t xml:space="preserve">H: </w:t>
            </w:r>
            <w:hyperlink r:id="rId11" w:anchor="H-S.C3.A4tze" w:history="1">
              <w:r>
                <w:rPr>
                  <w:rStyle w:val="Internetlink"/>
                  <w:rFonts w:ascii="sans-serif" w:hAnsi="sans-serif"/>
                  <w:color w:val="000000"/>
                  <w:sz w:val="18"/>
                  <w:szCs w:val="20"/>
                  <w:effect w:val="blinkBackground"/>
                </w:rPr>
                <w:t>302</w:t>
              </w:r>
            </w:hyperlink>
            <w:r>
              <w:rPr>
                <w:color w:val="000000"/>
                <w:sz w:val="20"/>
                <w:szCs w:val="20"/>
              </w:rPr>
              <w:t>​‐​</w:t>
            </w:r>
            <w:hyperlink r:id="rId12" w:anchor="H-S.C3.A4tze" w:history="1">
              <w:r>
                <w:rPr>
                  <w:rStyle w:val="Internetlink"/>
                  <w:rFonts w:ascii="sans-serif" w:hAnsi="sans-serif"/>
                  <w:color w:val="000000"/>
                  <w:sz w:val="18"/>
                  <w:szCs w:val="20"/>
                  <w:effect w:val="blinkBackground"/>
                </w:rPr>
                <w:t>315</w:t>
              </w:r>
            </w:hyperlink>
            <w:r>
              <w:rPr>
                <w:color w:val="000000"/>
                <w:sz w:val="20"/>
                <w:szCs w:val="20"/>
              </w:rPr>
              <w:t>​‐​</w:t>
            </w:r>
            <w:hyperlink r:id="rId13" w:anchor="H-S.C3.A4tze" w:history="1">
              <w:r>
                <w:rPr>
                  <w:rStyle w:val="Internetlink"/>
                  <w:rFonts w:ascii="sans-serif" w:hAnsi="sans-serif"/>
                  <w:color w:val="000000"/>
                  <w:sz w:val="18"/>
                  <w:szCs w:val="20"/>
                  <w:effect w:val="blinkBackground"/>
                </w:rPr>
                <w:t>319</w:t>
              </w:r>
            </w:hyperlink>
            <w:r>
              <w:rPr>
                <w:color w:val="000000"/>
                <w:sz w:val="20"/>
                <w:szCs w:val="20"/>
              </w:rPr>
              <w:t>​‐​</w:t>
            </w:r>
            <w:hyperlink r:id="rId14" w:anchor="H-S.C3.A4tze" w:history="1">
              <w:r>
                <w:rPr>
                  <w:rStyle w:val="Internetlink"/>
                  <w:rFonts w:ascii="sans-serif" w:hAnsi="sans-serif"/>
                  <w:color w:val="000000"/>
                  <w:sz w:val="18"/>
                  <w:szCs w:val="20"/>
                  <w:effect w:val="blinkBackground"/>
                </w:rPr>
                <w:t>335</w:t>
              </w:r>
            </w:hyperlink>
            <w:r>
              <w:rPr>
                <w:color w:val="000000"/>
                <w:sz w:val="20"/>
                <w:szCs w:val="20"/>
              </w:rPr>
              <w:t xml:space="preserve"> </w:t>
            </w:r>
          </w:p>
        </w:tc>
        <w:tc>
          <w:tcPr>
            <w:tcW w:w="3040"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hyperlink r:id="rId15" w:anchor="P-S.C3.A4tze" w:history="1">
              <w:r>
                <w:rPr>
                  <w:rStyle w:val="Internetlink"/>
                  <w:rFonts w:ascii="sans-serif" w:hAnsi="sans-serif"/>
                  <w:color w:val="000000"/>
                  <w:sz w:val="18"/>
                  <w:szCs w:val="20"/>
                  <w:effect w:val="blinkBackground"/>
                </w:rPr>
                <w:t>261</w:t>
              </w:r>
            </w:hyperlink>
            <w:r>
              <w:rPr>
                <w:color w:val="000000"/>
                <w:sz w:val="20"/>
                <w:szCs w:val="20"/>
              </w:rPr>
              <w:t>​‐​</w:t>
            </w:r>
            <w:hyperlink r:id="rId16" w:anchor="P-S.C3.A4tze" w:history="1">
              <w:r>
                <w:rPr>
                  <w:rStyle w:val="Internetlink"/>
                  <w:rFonts w:ascii="sans-serif" w:hAnsi="sans-serif"/>
                  <w:color w:val="000000"/>
                  <w:sz w:val="18"/>
                  <w:szCs w:val="20"/>
                  <w:effect w:val="blinkBackground"/>
                </w:rPr>
                <w:t>305+351+338</w:t>
              </w:r>
            </w:hyperlink>
            <w:r>
              <w:rPr>
                <w:color w:val="000000"/>
                <w:sz w:val="20"/>
                <w:szCs w:val="20"/>
              </w:rPr>
              <w:t xml:space="preserve"> </w:t>
            </w:r>
          </w:p>
        </w:tc>
      </w:tr>
      <w:tr w:rsidR="001D244D" w:rsidTr="00933B78">
        <w:tc>
          <w:tcPr>
            <w:tcW w:w="976"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26BF65BB" wp14:editId="17AE8F47">
                  <wp:extent cx="499110" cy="49911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7"/>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79"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1EBB5031" wp14:editId="13002086">
                  <wp:extent cx="499110" cy="49911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8"/>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84"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06EC7B6A" wp14:editId="394756F8">
                  <wp:extent cx="499110" cy="49911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78"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00E02A2F" wp14:editId="32BF087E">
                  <wp:extent cx="499110" cy="49911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20"/>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1141"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65B5A52F" wp14:editId="048EF87F">
                  <wp:extent cx="499110" cy="49911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21"/>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67"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7BDFD808" wp14:editId="556F9813">
                  <wp:extent cx="499110" cy="49911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22"/>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45"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352A03C5" wp14:editId="27DF6181">
                  <wp:extent cx="499110" cy="49911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23"/>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79"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3FAC4989" wp14:editId="4F8DE509">
                  <wp:extent cx="510540" cy="51054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510540" cy="510540"/>
                          </a:xfrm>
                          <a:prstGeom prst="rect">
                            <a:avLst/>
                          </a:prstGeom>
                          <a:noFill/>
                          <a:ln w="9525">
                            <a:noFill/>
                            <a:miter lim="800000"/>
                            <a:headEnd/>
                            <a:tailEnd/>
                          </a:ln>
                        </pic:spPr>
                      </pic:pic>
                    </a:graphicData>
                  </a:graphic>
                </wp:inline>
              </w:drawing>
            </w:r>
          </w:p>
        </w:tc>
        <w:tc>
          <w:tcPr>
            <w:tcW w:w="1122"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1D244D" w:rsidRDefault="001D244D" w:rsidP="00933B78">
            <w:pPr>
              <w:spacing w:after="0"/>
              <w:jc w:val="center"/>
            </w:pPr>
            <w:r>
              <w:rPr>
                <w:noProof/>
                <w:lang w:eastAsia="de-DE"/>
              </w:rPr>
              <w:drawing>
                <wp:inline distT="0" distB="0" distL="0" distR="0" wp14:anchorId="11986310" wp14:editId="1E1D19A8">
                  <wp:extent cx="499110" cy="49911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5"/>
                          <a:stretch>
                            <a:fillRect/>
                          </a:stretch>
                        </pic:blipFill>
                        <pic:spPr bwMode="auto">
                          <a:xfrm>
                            <a:off x="0" y="0"/>
                            <a:ext cx="499110" cy="499110"/>
                          </a:xfrm>
                          <a:prstGeom prst="rect">
                            <a:avLst/>
                          </a:prstGeom>
                          <a:noFill/>
                          <a:ln w="9525">
                            <a:noFill/>
                            <a:miter lim="800000"/>
                            <a:headEnd/>
                            <a:tailEnd/>
                          </a:ln>
                        </pic:spPr>
                      </pic:pic>
                    </a:graphicData>
                  </a:graphic>
                </wp:inline>
              </w:drawing>
            </w:r>
          </w:p>
        </w:tc>
      </w:tr>
    </w:tbl>
    <w:p w:rsidR="001D244D" w:rsidRDefault="001D244D" w:rsidP="001D244D">
      <w:pPr>
        <w:pStyle w:val="berschrift2"/>
      </w:pPr>
    </w:p>
    <w:p w:rsidR="001D244D" w:rsidRDefault="001D244D" w:rsidP="00F21A6A">
      <w:pPr>
        <w:tabs>
          <w:tab w:val="left" w:pos="1701"/>
          <w:tab w:val="left" w:pos="1985"/>
        </w:tabs>
        <w:ind w:left="1985" w:hanging="1985"/>
      </w:pPr>
      <w:bookmarkStart w:id="1" w:name="_Toc425776595"/>
      <w:bookmarkEnd w:id="1"/>
      <w:r>
        <w:t xml:space="preserve">Materialien: </w:t>
      </w:r>
      <w:r>
        <w:tab/>
      </w:r>
      <w:r>
        <w:tab/>
        <w:t>Heizplatte, Stativ, 2 Klemmen, 100 ml Rundkolben, Thermometer, Wasserbad,  Stopfen mit Loch, Glaskapillare, Stift</w:t>
      </w:r>
    </w:p>
    <w:p w:rsidR="001D244D" w:rsidRDefault="001D244D" w:rsidP="001D244D">
      <w:pPr>
        <w:tabs>
          <w:tab w:val="left" w:pos="1701"/>
          <w:tab w:val="left" w:pos="1985"/>
        </w:tabs>
        <w:ind w:left="1980" w:hanging="1980"/>
      </w:pPr>
      <w:r>
        <w:t>Chemikalien:</w:t>
      </w:r>
      <w:r>
        <w:tab/>
      </w:r>
      <w:r>
        <w:tab/>
        <w:t xml:space="preserve">demineralisiertes Wasser, Methylenblau (besser: Tinte), </w:t>
      </w:r>
      <w:proofErr w:type="spellStart"/>
      <w:r>
        <w:t>Ethylenglykol</w:t>
      </w:r>
      <w:proofErr w:type="spellEnd"/>
      <w:r>
        <w:t xml:space="preserve">, Ethanol, Eis </w:t>
      </w:r>
    </w:p>
    <w:p w:rsidR="001D244D" w:rsidRDefault="001D244D" w:rsidP="00F21A6A">
      <w:pPr>
        <w:tabs>
          <w:tab w:val="left" w:pos="1701"/>
          <w:tab w:val="left" w:pos="1985"/>
        </w:tabs>
        <w:spacing w:after="0"/>
        <w:ind w:left="1985" w:hanging="1985"/>
      </w:pPr>
      <w:bookmarkStart w:id="2" w:name="_GoBack"/>
      <w:bookmarkEnd w:id="2"/>
      <w:r>
        <w:t xml:space="preserve">Durchführung: </w:t>
      </w:r>
      <w:r>
        <w:tab/>
      </w:r>
      <w:r>
        <w:tab/>
        <w:t xml:space="preserve">Der Rundkolben wird bis zum oberen Rand mit einer der Untersuchungsflüssigkeiten gefüllt. Diese wird vorher durch Zugabe einer Spatelspitze Methylenblau bzw. wenigen Tropfen Tinte gefärbt. Der Stopfen wird mit der Glaskapillare durchstoßen und so auf den Kolben gesetzt, dass die Flüssigkeit unter Druck steht und ca. 1 cm in die Glaskapillare ausweicht. Der Kolben wird nun so befestigt, dass er in ein Eisbad hineintaucht, welches auf der Heizplatte (noch nicht anstellen!) steht. Die Temperatur des Eisbades wird notiert und der Pegelstand in der Kapillare wird willkürlich auf diese Temperatur festgelegt. Nun wird langsam Wärme zugeführt und die Pegelstände werden bei den jeweiligen Temperaturen notiert. </w:t>
      </w:r>
    </w:p>
    <w:p w:rsidR="001D244D" w:rsidRDefault="001D244D" w:rsidP="001D244D">
      <w:pPr>
        <w:tabs>
          <w:tab w:val="left" w:pos="1701"/>
          <w:tab w:val="left" w:pos="1985"/>
        </w:tabs>
        <w:ind w:left="1980" w:hanging="1980"/>
      </w:pPr>
    </w:p>
    <w:p w:rsidR="001D244D" w:rsidRDefault="001D244D" w:rsidP="001D244D">
      <w:pPr>
        <w:tabs>
          <w:tab w:val="left" w:pos="1701"/>
          <w:tab w:val="left" w:pos="1985"/>
        </w:tabs>
        <w:ind w:left="1980" w:hanging="1980"/>
      </w:pPr>
    </w:p>
    <w:p w:rsidR="001D244D" w:rsidRDefault="001D244D" w:rsidP="001D244D">
      <w:pPr>
        <w:tabs>
          <w:tab w:val="left" w:pos="1701"/>
          <w:tab w:val="left" w:pos="1985"/>
        </w:tabs>
        <w:ind w:left="1980" w:hanging="1980"/>
      </w:pPr>
    </w:p>
    <w:p w:rsidR="001D244D" w:rsidRDefault="00F21A6A" w:rsidP="001D244D">
      <w:pPr>
        <w:tabs>
          <w:tab w:val="left" w:pos="1701"/>
          <w:tab w:val="left" w:pos="1985"/>
        </w:tabs>
        <w:ind w:left="1980" w:hanging="1980"/>
      </w:pPr>
      <w:r>
        <w:rPr>
          <w:noProof/>
          <w:lang w:eastAsia="de-DE"/>
        </w:rPr>
        <w:drawing>
          <wp:anchor distT="0" distB="0" distL="0" distR="0" simplePos="0" relativeHeight="251661312" behindDoc="0" locked="0" layoutInCell="1" allowOverlap="1" wp14:anchorId="2E2B6938" wp14:editId="52704B81">
            <wp:simplePos x="0" y="0"/>
            <wp:positionH relativeFrom="column">
              <wp:posOffset>2066290</wp:posOffset>
            </wp:positionH>
            <wp:positionV relativeFrom="paragraph">
              <wp:posOffset>-25400</wp:posOffset>
            </wp:positionV>
            <wp:extent cx="1876425" cy="2302510"/>
            <wp:effectExtent l="0" t="0" r="9525" b="2540"/>
            <wp:wrapSquare wrapText="largest"/>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1876425" cy="2302510"/>
                    </a:xfrm>
                    <a:prstGeom prst="rect">
                      <a:avLst/>
                    </a:prstGeom>
                    <a:noFill/>
                    <a:ln w="9525">
                      <a:noFill/>
                      <a:miter lim="800000"/>
                      <a:headEnd/>
                      <a:tailEnd/>
                    </a:ln>
                  </pic:spPr>
                </pic:pic>
              </a:graphicData>
            </a:graphic>
          </wp:anchor>
        </w:drawing>
      </w:r>
    </w:p>
    <w:p w:rsidR="001D244D" w:rsidRDefault="001D244D" w:rsidP="001D244D">
      <w:pPr>
        <w:tabs>
          <w:tab w:val="left" w:pos="1701"/>
          <w:tab w:val="left" w:pos="1985"/>
        </w:tabs>
        <w:ind w:left="1980" w:hanging="1980"/>
      </w:pPr>
    </w:p>
    <w:p w:rsidR="001D244D" w:rsidRDefault="001D244D" w:rsidP="001D244D">
      <w:pPr>
        <w:tabs>
          <w:tab w:val="left" w:pos="1701"/>
          <w:tab w:val="left" w:pos="1985"/>
        </w:tabs>
        <w:spacing w:after="0"/>
        <w:ind w:left="1980" w:hanging="1980"/>
      </w:pPr>
      <w:r>
        <w:t xml:space="preserve">                                                                    </w:t>
      </w:r>
    </w:p>
    <w:p w:rsidR="001D244D" w:rsidRDefault="001D244D" w:rsidP="001D244D">
      <w:pPr>
        <w:tabs>
          <w:tab w:val="left" w:pos="1701"/>
          <w:tab w:val="left" w:pos="1985"/>
        </w:tabs>
        <w:spacing w:after="0"/>
        <w:ind w:left="1980" w:hanging="1980"/>
      </w:pPr>
      <w:r>
        <w:t xml:space="preserve">                                                                       </w:t>
      </w:r>
    </w:p>
    <w:p w:rsidR="00F21A6A" w:rsidRDefault="001D244D" w:rsidP="001D244D">
      <w:pPr>
        <w:tabs>
          <w:tab w:val="left" w:pos="1701"/>
          <w:tab w:val="left" w:pos="1985"/>
        </w:tabs>
        <w:spacing w:after="0"/>
        <w:ind w:left="1980" w:hanging="1980"/>
        <w:rPr>
          <w:sz w:val="20"/>
          <w:szCs w:val="20"/>
        </w:rPr>
      </w:pPr>
      <w:r>
        <w:rPr>
          <w:sz w:val="20"/>
          <w:szCs w:val="20"/>
        </w:rPr>
        <w:t xml:space="preserve">                                                                                         </w:t>
      </w:r>
    </w:p>
    <w:p w:rsidR="00F21A6A" w:rsidRDefault="00F21A6A" w:rsidP="001D244D">
      <w:pPr>
        <w:tabs>
          <w:tab w:val="left" w:pos="1701"/>
          <w:tab w:val="left" w:pos="1985"/>
        </w:tabs>
        <w:spacing w:after="0"/>
        <w:ind w:left="1980" w:hanging="1980"/>
        <w:rPr>
          <w:sz w:val="20"/>
          <w:szCs w:val="20"/>
        </w:rPr>
      </w:pPr>
    </w:p>
    <w:p w:rsidR="00F21A6A" w:rsidRDefault="00F21A6A" w:rsidP="001D244D">
      <w:pPr>
        <w:tabs>
          <w:tab w:val="left" w:pos="1701"/>
          <w:tab w:val="left" w:pos="1985"/>
        </w:tabs>
        <w:spacing w:after="0"/>
        <w:ind w:left="1980" w:hanging="1980"/>
        <w:rPr>
          <w:sz w:val="20"/>
          <w:szCs w:val="20"/>
        </w:rPr>
      </w:pPr>
    </w:p>
    <w:p w:rsidR="00F21A6A" w:rsidRDefault="00F21A6A" w:rsidP="001D244D">
      <w:pPr>
        <w:tabs>
          <w:tab w:val="left" w:pos="1701"/>
          <w:tab w:val="left" w:pos="1985"/>
        </w:tabs>
        <w:spacing w:after="0"/>
        <w:ind w:left="1980" w:hanging="1980"/>
        <w:rPr>
          <w:sz w:val="20"/>
          <w:szCs w:val="20"/>
        </w:rPr>
      </w:pPr>
    </w:p>
    <w:p w:rsidR="00F21A6A" w:rsidRDefault="00F21A6A" w:rsidP="001D244D">
      <w:pPr>
        <w:tabs>
          <w:tab w:val="left" w:pos="1701"/>
          <w:tab w:val="left" w:pos="1985"/>
        </w:tabs>
        <w:spacing w:after="0"/>
        <w:ind w:left="1980" w:hanging="1980"/>
        <w:rPr>
          <w:sz w:val="20"/>
          <w:szCs w:val="20"/>
        </w:rPr>
      </w:pPr>
    </w:p>
    <w:p w:rsidR="001D244D" w:rsidRDefault="00F21A6A" w:rsidP="001D244D">
      <w:pPr>
        <w:tabs>
          <w:tab w:val="left" w:pos="1701"/>
          <w:tab w:val="left" w:pos="1985"/>
        </w:tabs>
        <w:spacing w:after="0"/>
        <w:ind w:left="1980" w:hanging="1980"/>
      </w:pPr>
      <w:r>
        <w:rPr>
          <w:sz w:val="20"/>
          <w:szCs w:val="20"/>
        </w:rPr>
        <w:t xml:space="preserve">                                                                          </w:t>
      </w:r>
      <w:r w:rsidR="001D244D">
        <w:rPr>
          <w:sz w:val="20"/>
          <w:szCs w:val="20"/>
        </w:rPr>
        <w:t>Abb.1 Aufbau des Thermometers</w:t>
      </w:r>
    </w:p>
    <w:p w:rsidR="001D244D" w:rsidRDefault="001D244D" w:rsidP="001D244D">
      <w:pPr>
        <w:tabs>
          <w:tab w:val="left" w:pos="1701"/>
          <w:tab w:val="left" w:pos="1985"/>
        </w:tabs>
        <w:spacing w:after="0"/>
        <w:ind w:left="1980" w:hanging="1980"/>
      </w:pPr>
      <w:r>
        <w:t>Beobachtung:</w:t>
      </w:r>
      <w:r>
        <w:tab/>
      </w:r>
      <w:r>
        <w:tab/>
      </w:r>
      <w:r>
        <w:tab/>
        <w:t xml:space="preserve">Mit steigender Temperatur steigen auch die Pegelstände der einzelnen Flüssigkeiten. Ethanol steigt hierbei am schnellsten (ca. 1cm pro Grad Celsius, gefolgt von </w:t>
      </w:r>
      <w:proofErr w:type="spellStart"/>
      <w:r>
        <w:t>Ethylenglykol</w:t>
      </w:r>
      <w:proofErr w:type="spellEnd"/>
      <w:r>
        <w:t xml:space="preserve"> (5-10 mm pro Grad Celsius), am langsamsten steigt Wasser (ca. 1-5 mm pro ein Grad Celsius). </w:t>
      </w:r>
    </w:p>
    <w:p w:rsidR="00F21A6A" w:rsidRDefault="00F21A6A" w:rsidP="001D244D">
      <w:pPr>
        <w:tabs>
          <w:tab w:val="left" w:pos="1701"/>
          <w:tab w:val="left" w:pos="1985"/>
        </w:tabs>
        <w:spacing w:after="156"/>
        <w:ind w:left="1980" w:hanging="1980"/>
      </w:pPr>
    </w:p>
    <w:p w:rsidR="001D244D" w:rsidRDefault="001D244D" w:rsidP="001D244D">
      <w:pPr>
        <w:tabs>
          <w:tab w:val="left" w:pos="1701"/>
          <w:tab w:val="left" w:pos="1985"/>
        </w:tabs>
        <w:spacing w:after="156"/>
        <w:ind w:left="1980" w:hanging="1980"/>
      </w:pPr>
      <w:r>
        <w:t>Deutung:</w:t>
      </w:r>
      <w:r>
        <w:tab/>
        <w:t xml:space="preserve"> </w:t>
      </w:r>
      <w:r w:rsidR="00F21A6A">
        <w:t xml:space="preserve">   </w:t>
      </w:r>
      <w:r>
        <w:t xml:space="preserve">  Da Wasser eine  stärkere Ausbildung von Wasserstoffbrückenbindungen                und somit stärkere intramolekulare Bindungskräfte aufweist, ist hier die Volumenausdehnung am geringsten.  Auf dieser Basis kann der Versuch in der 5. und 6. Klasse noch nicht begründet werden, hier wird lediglich die unterschiedliche Charakterisierung von Flüssigkeiten aufgrund verschiedener Temperaturen als Quintessenz betrachtet.  </w:t>
      </w:r>
    </w:p>
    <w:p w:rsidR="00F21A6A" w:rsidRDefault="00F21A6A" w:rsidP="001D244D">
      <w:pPr>
        <w:spacing w:after="156" w:line="276" w:lineRule="auto"/>
        <w:jc w:val="left"/>
      </w:pPr>
    </w:p>
    <w:p w:rsidR="001D244D" w:rsidRDefault="001D244D" w:rsidP="001D244D">
      <w:pPr>
        <w:spacing w:after="156" w:line="276" w:lineRule="auto"/>
        <w:jc w:val="left"/>
      </w:pPr>
      <w:r>
        <w:t>Entsorgung:</w:t>
      </w:r>
      <w:r>
        <w:tab/>
        <w:t xml:space="preserve">           Die Flüssigkeiten können im Abfluss entsorgt werden. </w:t>
      </w:r>
    </w:p>
    <w:p w:rsidR="00F21A6A" w:rsidRDefault="00F21A6A" w:rsidP="001D244D">
      <w:pPr>
        <w:tabs>
          <w:tab w:val="left" w:pos="1701"/>
          <w:tab w:val="left" w:pos="1985"/>
        </w:tabs>
        <w:ind w:left="1980" w:hanging="1980"/>
        <w:jc w:val="left"/>
      </w:pPr>
    </w:p>
    <w:p w:rsidR="001D244D" w:rsidRDefault="001D244D" w:rsidP="001D244D">
      <w:pPr>
        <w:tabs>
          <w:tab w:val="left" w:pos="1701"/>
          <w:tab w:val="left" w:pos="1985"/>
        </w:tabs>
        <w:ind w:left="1980" w:hanging="1980"/>
        <w:jc w:val="left"/>
      </w:pPr>
      <w:r>
        <w:t xml:space="preserve">Literatur:                      </w:t>
      </w:r>
      <w:hyperlink r:id="rId27">
        <w:r>
          <w:rPr>
            <w:rStyle w:val="Internetlink"/>
            <w:rFonts w:ascii="Times New Roman" w:eastAsia="Times New Roman" w:hAnsi="Times New Roman"/>
            <w:vanish/>
            <w:sz w:val="24"/>
            <w:szCs w:val="24"/>
          </w:rPr>
          <w:t>http://daten.didaktikchemie.uni-bayreuth.de/experimente/gs-hs/GSW_thermometer.htm</w:t>
        </w:r>
      </w:hyperlink>
      <w:r>
        <w:rPr>
          <w:rStyle w:val="Internetlink"/>
          <w:rFonts w:ascii="Times New Roman" w:eastAsia="Times New Roman" w:hAnsi="Times New Roman"/>
          <w:vanish/>
          <w:sz w:val="24"/>
          <w:szCs w:val="24"/>
        </w:rPr>
        <w:t xml:space="preserve">Hecker, J. (2010). </w:t>
      </w:r>
      <w:r>
        <w:rPr>
          <w:rStyle w:val="Internetlink"/>
          <w:rFonts w:ascii="Times New Roman" w:eastAsia="Times New Roman" w:hAnsi="Times New Roman"/>
          <w:i/>
          <w:iCs/>
          <w:vanish/>
          <w:sz w:val="24"/>
          <w:szCs w:val="24"/>
        </w:rPr>
        <w:t>Der Kinder BROCKHAUS Experimente Den Naturwissenschaften auf der Spur.</w:t>
      </w:r>
      <w:r>
        <w:rPr>
          <w:rStyle w:val="Internetlink"/>
          <w:rFonts w:ascii="Times New Roman" w:eastAsia="Times New Roman" w:hAnsi="Times New Roman"/>
          <w:vanish/>
          <w:sz w:val="24"/>
          <w:szCs w:val="24"/>
        </w:rPr>
        <w:t xml:space="preserve"> Gütersloh: F.A. Brockhaus.Hecker, J. (2010). </w:t>
      </w:r>
      <w:r>
        <w:rPr>
          <w:rStyle w:val="Internetlink"/>
          <w:rFonts w:ascii="Times New Roman" w:eastAsia="Times New Roman" w:hAnsi="Times New Roman"/>
          <w:i/>
          <w:iCs/>
          <w:vanish/>
          <w:sz w:val="24"/>
          <w:szCs w:val="24"/>
        </w:rPr>
        <w:t>Der Kinder BROCKHAUS Experimente Den Naturwissenschaften auf der Spur.</w:t>
      </w:r>
      <w:r>
        <w:rPr>
          <w:rStyle w:val="Internetlink"/>
          <w:rFonts w:ascii="Times New Roman" w:eastAsia="Times New Roman" w:hAnsi="Times New Roman"/>
          <w:vanish/>
          <w:sz w:val="24"/>
          <w:szCs w:val="24"/>
        </w:rPr>
        <w:t xml:space="preserve"> Gütersloh: F.A. Brockhaus.Hecker, J. (2010). </w:t>
      </w:r>
      <w:r>
        <w:rPr>
          <w:rStyle w:val="Internetlink"/>
          <w:rFonts w:ascii="Times New Roman" w:eastAsia="Times New Roman" w:hAnsi="Times New Roman"/>
          <w:i/>
          <w:iCs/>
          <w:vanish/>
          <w:sz w:val="24"/>
          <w:szCs w:val="24"/>
        </w:rPr>
        <w:t>Der Kinder BROCKHAUS Experimente Den Naturwissenschaften auf der Spur.</w:t>
      </w:r>
      <w:r>
        <w:rPr>
          <w:rStyle w:val="Internetlink"/>
          <w:rFonts w:ascii="Times New Roman" w:eastAsia="Times New Roman" w:hAnsi="Times New Roman"/>
          <w:vanish/>
          <w:sz w:val="24"/>
          <w:szCs w:val="24"/>
        </w:rPr>
        <w:t xml:space="preserve"> Gütersloh: F.A. Brockhaus.Hecker, J. (2010). </w:t>
      </w:r>
      <w:r>
        <w:rPr>
          <w:rStyle w:val="Internetlink"/>
          <w:rFonts w:ascii="Times New Roman" w:eastAsia="Times New Roman" w:hAnsi="Times New Roman"/>
          <w:i/>
          <w:iCs/>
          <w:vanish/>
          <w:sz w:val="24"/>
          <w:szCs w:val="24"/>
        </w:rPr>
        <w:t>Der Kinder BROCKHAUS Experimente Den Naturwissenschaften auf der Spur.</w:t>
      </w:r>
      <w:r>
        <w:rPr>
          <w:rStyle w:val="Internetlink"/>
          <w:rFonts w:ascii="Times New Roman" w:eastAsia="Times New Roman" w:hAnsi="Times New Roman"/>
          <w:vanish/>
          <w:sz w:val="24"/>
          <w:szCs w:val="24"/>
        </w:rPr>
        <w:t xml:space="preserve"> Gütersloh: F.A. Brockhaus.</w:t>
      </w:r>
      <w:r>
        <w:rPr>
          <w:rFonts w:ascii="Times New Roman" w:eastAsia="Times New Roman" w:hAnsi="Times New Roman"/>
        </w:rPr>
        <w:t xml:space="preserve">Hecker, J. (2010). </w:t>
      </w:r>
      <w:r>
        <w:rPr>
          <w:rFonts w:ascii="Times New Roman" w:eastAsia="Times New Roman" w:hAnsi="Times New Roman"/>
          <w:i/>
          <w:iCs/>
        </w:rPr>
        <w:t>Der Kinder BROCKHAUS Experimente Den Naturwissenschaften auf der Spur.</w:t>
      </w:r>
      <w:r>
        <w:rPr>
          <w:rFonts w:ascii="Times New Roman" w:eastAsia="Times New Roman" w:hAnsi="Times New Roman"/>
        </w:rPr>
        <w:t xml:space="preserve"> Gütersloh: F.A. Brockhaus. S 148</w:t>
      </w:r>
    </w:p>
    <w:p w:rsidR="001D244D" w:rsidRDefault="001D244D" w:rsidP="001D244D"/>
    <w:p w:rsidR="001D244D" w:rsidRDefault="001D244D" w:rsidP="001D244D">
      <w:r>
        <w:rPr>
          <w:noProof/>
          <w:lang w:eastAsia="de-DE"/>
        </w:rPr>
        <w:lastRenderedPageBreak/>
        <mc:AlternateContent>
          <mc:Choice Requires="wps">
            <w:drawing>
              <wp:anchor distT="0" distB="0" distL="114300" distR="114300" simplePos="0" relativeHeight="251660288" behindDoc="0" locked="0" layoutInCell="1" allowOverlap="1" wp14:anchorId="22B98665" wp14:editId="42658A3D">
                <wp:simplePos x="0" y="0"/>
                <wp:positionH relativeFrom="column">
                  <wp:posOffset>635</wp:posOffset>
                </wp:positionH>
                <wp:positionV relativeFrom="paragraph">
                  <wp:posOffset>0</wp:posOffset>
                </wp:positionV>
                <wp:extent cx="5796280" cy="1785620"/>
                <wp:effectExtent l="0" t="0" r="21590" b="21590"/>
                <wp:wrapSquare wrapText="bothSides"/>
                <wp:docPr id="16" name="Rahmen3"/>
                <wp:cNvGraphicFramePr/>
                <a:graphic xmlns:a="http://schemas.openxmlformats.org/drawingml/2006/main">
                  <a:graphicData uri="http://schemas.microsoft.com/office/word/2010/wordprocessingShape">
                    <wps:wsp>
                      <wps:cNvSpPr txBox="1"/>
                      <wps:spPr>
                        <a:xfrm>
                          <a:off x="0" y="0"/>
                          <a:ext cx="5796280" cy="1785620"/>
                        </a:xfrm>
                        <a:prstGeom prst="rect">
                          <a:avLst/>
                        </a:prstGeom>
                        <a:solidFill>
                          <a:srgbClr val="FFFFFF"/>
                        </a:solidFill>
                        <a:ln w="12700">
                          <a:solidFill>
                            <a:srgbClr val="C0504D"/>
                          </a:solidFill>
                          <a:prstDash val="dash"/>
                        </a:ln>
                        <a:effectLst>
                          <a:outerShdw dist="30480" dir="2700000">
                            <a:srgbClr val="868686"/>
                          </a:outerShdw>
                        </a:effectLst>
                      </wps:spPr>
                      <wps:txbx>
                        <w:txbxContent>
                          <w:p w:rsidR="001D244D" w:rsidRDefault="001D244D" w:rsidP="001D244D">
                            <w:pPr>
                              <w:pStyle w:val="Rahmeninhalt"/>
                              <w:spacing w:after="0"/>
                            </w:pPr>
                            <w:r>
                              <w:rPr>
                                <w:color w:val="00000A"/>
                              </w:rPr>
                              <w:t xml:space="preserve">Der Versuch kann auch als Basis für weiterführende Konzepte wie intramolekulare Kräfte (Wasserstoffbrückenbindungen) oder </w:t>
                            </w:r>
                            <w:proofErr w:type="spellStart"/>
                            <w:r>
                              <w:rPr>
                                <w:color w:val="00000A"/>
                              </w:rPr>
                              <w:t>Siedepunktsbestimmungen</w:t>
                            </w:r>
                            <w:proofErr w:type="spellEnd"/>
                            <w:r>
                              <w:rPr>
                                <w:color w:val="00000A"/>
                              </w:rPr>
                              <w:t xml:space="preserve"> in höheren Klassenstufen herangezogen werden. Es lässt sich aus dem unterschiedlichen Verhalten der Flüssigkeiten ein problemorientierter Unterricht entwickeln. Für die Konzipierung als Schülerversuch können alternativ Plastikflaschen, Strohhalme und Knete für das Thermometergefäß verwendet werden, sowie </w:t>
                            </w:r>
                            <w:proofErr w:type="spellStart"/>
                            <w:r>
                              <w:rPr>
                                <w:color w:val="00000A"/>
                              </w:rPr>
                              <w:t>Ethylenglykol</w:t>
                            </w:r>
                            <w:proofErr w:type="spellEnd"/>
                            <w:r>
                              <w:rPr>
                                <w:color w:val="00000A"/>
                              </w:rPr>
                              <w:t xml:space="preserve"> durch eine ungiftigere beliebige Flüssigkeit ersetzt werden (Bsp. NaCl Lösung).</w:t>
                            </w:r>
                          </w:p>
                        </w:txbxContent>
                      </wps:txbx>
                      <wps:bodyPr lIns="53975" tIns="53975" rIns="53975" bIns="53975" anchor="t">
                        <a:noAutofit/>
                      </wps:bodyPr>
                    </wps:wsp>
                  </a:graphicData>
                </a:graphic>
              </wp:anchor>
            </w:drawing>
          </mc:Choice>
          <mc:Fallback>
            <w:pict>
              <v:shape id="Rahmen3" o:spid="_x0000_s1027" type="#_x0000_t202" style="position:absolute;left:0;text-align:left;margin-left:.05pt;margin-top:0;width:456.4pt;height:14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" strokecolor="#c0504d" strokeweight="1pt">
                <v:stroke dashstyle="dash"/>
                <v:shadow on="t" color="#868686" origin=",.5" offset=".59869mm,.59869mm"/>
                <v:textbox inset="4.25pt,4.25pt,4.25pt,4.25pt">
                  <w:txbxContent>
                    <w:p w:rsidR="001D244D" w:rsidRDefault="001D244D" w:rsidP="001D244D">
                      <w:pPr>
                        <w:pStyle w:val="Rahmeninhalt"/>
                        <w:spacing w:after="0"/>
                      </w:pPr>
                      <w:r>
                        <w:rPr>
                          <w:color w:val="00000A"/>
                        </w:rPr>
                        <w:t xml:space="preserve">Der Versuch kann auch als Basis für weiterführende Konzepte wie intramolekulare Kräfte (Wasserstoffbrückenbindungen) oder </w:t>
                      </w:r>
                      <w:proofErr w:type="spellStart"/>
                      <w:r>
                        <w:rPr>
                          <w:color w:val="00000A"/>
                        </w:rPr>
                        <w:t>Siedepunktsbestimmungen</w:t>
                      </w:r>
                      <w:proofErr w:type="spellEnd"/>
                      <w:r>
                        <w:rPr>
                          <w:color w:val="00000A"/>
                        </w:rPr>
                        <w:t xml:space="preserve"> in höheren Klassenstufen herangezogen werden. Es lässt sich aus dem unterschiedlichen Verhalten der Flüssigkeiten ein problemorientierter Unterricht entwickeln. Für die Konzipierung als Schülerversuch können alternativ Plastikflaschen, Strohhalme und Knete für das Thermometergefäß verwendet werden, sowie </w:t>
                      </w:r>
                      <w:proofErr w:type="spellStart"/>
                      <w:r>
                        <w:rPr>
                          <w:color w:val="00000A"/>
                        </w:rPr>
                        <w:t>Ethylenglykol</w:t>
                      </w:r>
                      <w:proofErr w:type="spellEnd"/>
                      <w:r>
                        <w:rPr>
                          <w:color w:val="00000A"/>
                        </w:rPr>
                        <w:t xml:space="preserve"> durch eine ungiftigere beliebige Flüssigkeit ersetzt werden (Bsp. NaCl Lösung).</w:t>
                      </w:r>
                    </w:p>
                  </w:txbxContent>
                </v:textbox>
                <w10:wrap type="square"/>
              </v:shape>
            </w:pict>
          </mc:Fallback>
        </mc:AlternateContent>
      </w:r>
    </w:p>
    <w:p w:rsidR="004774FF" w:rsidRDefault="00143DA8"/>
    <w:sectPr w:rsidR="004774FF">
      <w:head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4D" w:rsidRDefault="001D244D" w:rsidP="001D244D">
      <w:pPr>
        <w:spacing w:after="0" w:line="240" w:lineRule="auto"/>
      </w:pPr>
      <w:r>
        <w:separator/>
      </w:r>
    </w:p>
  </w:endnote>
  <w:endnote w:type="continuationSeparator" w:id="0">
    <w:p w:rsidR="001D244D" w:rsidRDefault="001D244D" w:rsidP="001D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Arial"/>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4D" w:rsidRDefault="001D244D" w:rsidP="001D244D">
      <w:pPr>
        <w:spacing w:after="0" w:line="240" w:lineRule="auto"/>
      </w:pPr>
      <w:r>
        <w:separator/>
      </w:r>
    </w:p>
  </w:footnote>
  <w:footnote w:type="continuationSeparator" w:id="0">
    <w:p w:rsidR="001D244D" w:rsidRDefault="001D244D" w:rsidP="001D2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5D" w:rsidRDefault="00E45B5D">
    <w:pPr>
      <w:pStyle w:val="Kopfzeile"/>
    </w:pPr>
    <w:r>
      <w:t>V1- Bau eines Thermometers</w:t>
    </w:r>
  </w:p>
  <w:p w:rsidR="00E45B5D" w:rsidRDefault="00E45B5D">
    <w:pPr>
      <w:pStyle w:val="Kopfzeile"/>
    </w:pPr>
    <w:r>
      <w:rPr>
        <w:noProof/>
        <w:lang w:eastAsia="de-DE"/>
      </w:rPr>
      <w:drawing>
        <wp:inline distT="0" distB="0" distL="0" distR="0" wp14:anchorId="631611A0">
          <wp:extent cx="5883275" cy="18415"/>
          <wp:effectExtent l="0" t="0" r="317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184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4D"/>
    <w:rsid w:val="00143DA8"/>
    <w:rsid w:val="001D244D"/>
    <w:rsid w:val="003E4EE1"/>
    <w:rsid w:val="006629B8"/>
    <w:rsid w:val="00AE4D47"/>
    <w:rsid w:val="00E45B5D"/>
    <w:rsid w:val="00F21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244D"/>
    <w:pPr>
      <w:suppressAutoHyphens/>
      <w:spacing w:line="360" w:lineRule="auto"/>
      <w:jc w:val="both"/>
    </w:pPr>
    <w:rPr>
      <w:rFonts w:ascii="Cambria" w:eastAsia="Calibri" w:hAnsi="Cambria"/>
      <w:color w:val="1D1B11" w:themeColor="background2" w:themeShade="1A"/>
    </w:rPr>
  </w:style>
  <w:style w:type="paragraph" w:styleId="berschrift1">
    <w:name w:val="heading 1"/>
    <w:basedOn w:val="Standard"/>
    <w:next w:val="Standard"/>
    <w:link w:val="berschrift1Zchn"/>
    <w:uiPriority w:val="9"/>
    <w:qFormat/>
    <w:rsid w:val="001D244D"/>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D244D"/>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24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D244D"/>
    <w:rPr>
      <w:rFonts w:asciiTheme="majorHAnsi" w:eastAsiaTheme="majorEastAsia" w:hAnsiTheme="majorHAnsi" w:cstheme="majorBidi"/>
      <w:b/>
      <w:bCs/>
      <w:color w:val="1D1B11" w:themeColor="background2" w:themeShade="1A"/>
      <w:szCs w:val="26"/>
    </w:rPr>
  </w:style>
  <w:style w:type="character" w:customStyle="1" w:styleId="Internetlink">
    <w:name w:val="Internetlink"/>
    <w:basedOn w:val="Absatz-Standardschriftart"/>
    <w:uiPriority w:val="99"/>
    <w:unhideWhenUsed/>
    <w:rsid w:val="001D244D"/>
    <w:rPr>
      <w:color w:val="0000FF" w:themeColor="hyperlink"/>
      <w:u w:val="single"/>
    </w:rPr>
  </w:style>
  <w:style w:type="paragraph" w:customStyle="1" w:styleId="Rahmeninhalt">
    <w:name w:val="Rahmeninhalt"/>
    <w:basedOn w:val="Standard"/>
    <w:qFormat/>
    <w:rsid w:val="001D244D"/>
  </w:style>
  <w:style w:type="paragraph" w:styleId="Sprechblasentext">
    <w:name w:val="Balloon Text"/>
    <w:basedOn w:val="Standard"/>
    <w:link w:val="SprechblasentextZchn"/>
    <w:uiPriority w:val="99"/>
    <w:semiHidden/>
    <w:unhideWhenUsed/>
    <w:rsid w:val="001D24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44D"/>
    <w:rPr>
      <w:rFonts w:ascii="Tahoma" w:eastAsia="Calibri" w:hAnsi="Tahoma" w:cs="Tahoma"/>
      <w:color w:val="1D1B11" w:themeColor="background2" w:themeShade="1A"/>
      <w:sz w:val="16"/>
      <w:szCs w:val="16"/>
    </w:rPr>
  </w:style>
  <w:style w:type="paragraph" w:styleId="Kopfzeile">
    <w:name w:val="header"/>
    <w:basedOn w:val="Standard"/>
    <w:link w:val="KopfzeileZchn"/>
    <w:uiPriority w:val="99"/>
    <w:unhideWhenUsed/>
    <w:rsid w:val="001D24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44D"/>
    <w:rPr>
      <w:rFonts w:ascii="Cambria" w:eastAsia="Calibri" w:hAnsi="Cambria"/>
      <w:color w:val="1D1B11" w:themeColor="background2" w:themeShade="1A"/>
    </w:rPr>
  </w:style>
  <w:style w:type="paragraph" w:styleId="Fuzeile">
    <w:name w:val="footer"/>
    <w:basedOn w:val="Standard"/>
    <w:link w:val="FuzeileZchn"/>
    <w:uiPriority w:val="99"/>
    <w:unhideWhenUsed/>
    <w:rsid w:val="001D24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44D"/>
    <w:rPr>
      <w:rFonts w:ascii="Cambria" w:eastAsia="Calibri"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244D"/>
    <w:pPr>
      <w:suppressAutoHyphens/>
      <w:spacing w:line="360" w:lineRule="auto"/>
      <w:jc w:val="both"/>
    </w:pPr>
    <w:rPr>
      <w:rFonts w:ascii="Cambria" w:eastAsia="Calibri" w:hAnsi="Cambria"/>
      <w:color w:val="1D1B11" w:themeColor="background2" w:themeShade="1A"/>
    </w:rPr>
  </w:style>
  <w:style w:type="paragraph" w:styleId="berschrift1">
    <w:name w:val="heading 1"/>
    <w:basedOn w:val="Standard"/>
    <w:next w:val="Standard"/>
    <w:link w:val="berschrift1Zchn"/>
    <w:uiPriority w:val="9"/>
    <w:qFormat/>
    <w:rsid w:val="001D244D"/>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D244D"/>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24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D244D"/>
    <w:rPr>
      <w:rFonts w:asciiTheme="majorHAnsi" w:eastAsiaTheme="majorEastAsia" w:hAnsiTheme="majorHAnsi" w:cstheme="majorBidi"/>
      <w:b/>
      <w:bCs/>
      <w:color w:val="1D1B11" w:themeColor="background2" w:themeShade="1A"/>
      <w:szCs w:val="26"/>
    </w:rPr>
  </w:style>
  <w:style w:type="character" w:customStyle="1" w:styleId="Internetlink">
    <w:name w:val="Internetlink"/>
    <w:basedOn w:val="Absatz-Standardschriftart"/>
    <w:uiPriority w:val="99"/>
    <w:unhideWhenUsed/>
    <w:rsid w:val="001D244D"/>
    <w:rPr>
      <w:color w:val="0000FF" w:themeColor="hyperlink"/>
      <w:u w:val="single"/>
    </w:rPr>
  </w:style>
  <w:style w:type="paragraph" w:customStyle="1" w:styleId="Rahmeninhalt">
    <w:name w:val="Rahmeninhalt"/>
    <w:basedOn w:val="Standard"/>
    <w:qFormat/>
    <w:rsid w:val="001D244D"/>
  </w:style>
  <w:style w:type="paragraph" w:styleId="Sprechblasentext">
    <w:name w:val="Balloon Text"/>
    <w:basedOn w:val="Standard"/>
    <w:link w:val="SprechblasentextZchn"/>
    <w:uiPriority w:val="99"/>
    <w:semiHidden/>
    <w:unhideWhenUsed/>
    <w:rsid w:val="001D24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44D"/>
    <w:rPr>
      <w:rFonts w:ascii="Tahoma" w:eastAsia="Calibri" w:hAnsi="Tahoma" w:cs="Tahoma"/>
      <w:color w:val="1D1B11" w:themeColor="background2" w:themeShade="1A"/>
      <w:sz w:val="16"/>
      <w:szCs w:val="16"/>
    </w:rPr>
  </w:style>
  <w:style w:type="paragraph" w:styleId="Kopfzeile">
    <w:name w:val="header"/>
    <w:basedOn w:val="Standard"/>
    <w:link w:val="KopfzeileZchn"/>
    <w:uiPriority w:val="99"/>
    <w:unhideWhenUsed/>
    <w:rsid w:val="001D24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44D"/>
    <w:rPr>
      <w:rFonts w:ascii="Cambria" w:eastAsia="Calibri" w:hAnsi="Cambria"/>
      <w:color w:val="1D1B11" w:themeColor="background2" w:themeShade="1A"/>
    </w:rPr>
  </w:style>
  <w:style w:type="paragraph" w:styleId="Fuzeile">
    <w:name w:val="footer"/>
    <w:basedOn w:val="Standard"/>
    <w:link w:val="FuzeileZchn"/>
    <w:uiPriority w:val="99"/>
    <w:unhideWhenUsed/>
    <w:rsid w:val="001D24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44D"/>
    <w:rPr>
      <w:rFonts w:ascii="Cambria" w:eastAsia="Calibri"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228;tze" TargetMode="External"/><Relationship Id="rId13" Type="http://schemas.openxmlformats.org/officeDocument/2006/relationships/hyperlink" Target="https://de.wikipedia.org/wiki/H-_und_P-S&#228;tze" TargetMode="External"/><Relationship Id="rId18" Type="http://schemas.openxmlformats.org/officeDocument/2006/relationships/image" Target="media/image2.jpe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de.wikipedia.org/wiki/H-_und_P-S&#228;tze" TargetMode="External"/><Relationship Id="rId12" Type="http://schemas.openxmlformats.org/officeDocument/2006/relationships/hyperlink" Target="https://de.wikipedia.org/wiki/H-_und_P-S&#228;tze" TargetMode="External"/><Relationship Id="rId17" Type="http://schemas.openxmlformats.org/officeDocument/2006/relationships/image" Target="media/image1.jpeg"/><Relationship Id="rId25"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hyperlink" Target="https://de.wikipedia.org/wiki/H-_und_P-S&#228;tze"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e.wikipedia.org/wiki/H-_und_P-S&#228;tze"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de.wikipedia.org/wiki/H-_und_P-S&#228;tze" TargetMode="External"/><Relationship Id="rId23" Type="http://schemas.openxmlformats.org/officeDocument/2006/relationships/image" Target="media/image7.jpeg"/><Relationship Id="rId28" Type="http://schemas.openxmlformats.org/officeDocument/2006/relationships/header" Target="header1.xml"/><Relationship Id="rId10" Type="http://schemas.openxmlformats.org/officeDocument/2006/relationships/hyperlink" Target="http://de.wikipedia.org/wiki/H-_und_P-S&#228;tze"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e.wikipedia.org/wiki/H-_und_P-S&#228;tze" TargetMode="External"/><Relationship Id="rId14" Type="http://schemas.openxmlformats.org/officeDocument/2006/relationships/hyperlink" Target="https://de.wikipedia.org/wiki/H-_und_P-S&#228;tze" TargetMode="External"/><Relationship Id="rId22" Type="http://schemas.openxmlformats.org/officeDocument/2006/relationships/image" Target="media/image6.jpeg"/><Relationship Id="rId27" Type="http://schemas.openxmlformats.org/officeDocument/2006/relationships/hyperlink" Target="http://daten.didaktikchemie.uni-bayreuth.de/experimente/gs-hs/GSW_thermometer.ht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3</cp:revision>
  <cp:lastPrinted>2015-08-22T16:44:00Z</cp:lastPrinted>
  <dcterms:created xsi:type="dcterms:W3CDTF">2015-08-22T16:44:00Z</dcterms:created>
  <dcterms:modified xsi:type="dcterms:W3CDTF">2015-08-22T16:45:00Z</dcterms:modified>
</cp:coreProperties>
</file>