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1A" w:rsidRPr="00A6411A" w:rsidRDefault="00A6411A" w:rsidP="00A6411A">
      <w:pPr>
        <w:rPr>
          <w:b/>
          <w:sz w:val="24"/>
        </w:rPr>
      </w:pPr>
      <w:bookmarkStart w:id="0" w:name="_Toc457157793"/>
      <w:r w:rsidRPr="00A6411A">
        <w:rPr>
          <w:b/>
          <w:sz w:val="24"/>
        </w:rPr>
        <w:t>V2 – Dichtebestimmung eines unbekannten Metalls</w:t>
      </w:r>
      <w:bookmarkStart w:id="1" w:name="_GoBack"/>
      <w:bookmarkEnd w:id="0"/>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6411A" w:rsidRPr="009C5E28" w:rsidTr="00675AB2">
        <w:tc>
          <w:tcPr>
            <w:tcW w:w="9322" w:type="dxa"/>
            <w:gridSpan w:val="9"/>
            <w:shd w:val="clear" w:color="auto" w:fill="4F81BD"/>
            <w:vAlign w:val="center"/>
          </w:tcPr>
          <w:p w:rsidR="00A6411A" w:rsidRPr="00F31EBF" w:rsidRDefault="00A6411A" w:rsidP="00675AB2">
            <w:pPr>
              <w:spacing w:after="0"/>
              <w:jc w:val="center"/>
              <w:rPr>
                <w:b/>
                <w:bCs/>
                <w:color w:val="FFFFFF" w:themeColor="background1"/>
              </w:rPr>
            </w:pPr>
            <w:r w:rsidRPr="00F31EBF">
              <w:rPr>
                <w:b/>
                <w:bCs/>
                <w:color w:val="FFFFFF" w:themeColor="background1"/>
              </w:rPr>
              <w:t>Gefahrenstoffe</w:t>
            </w:r>
          </w:p>
        </w:tc>
      </w:tr>
      <w:tr w:rsidR="00A6411A" w:rsidRPr="009C5E28" w:rsidTr="00675AB2">
        <w:trPr>
          <w:trHeight w:val="394"/>
        </w:trPr>
        <w:tc>
          <w:tcPr>
            <w:tcW w:w="3027" w:type="dxa"/>
            <w:gridSpan w:val="3"/>
            <w:tcBorders>
              <w:top w:val="single" w:sz="4" w:space="0" w:color="5B9BD5" w:themeColor="accent1"/>
              <w:bottom w:val="nil"/>
            </w:tcBorders>
            <w:shd w:val="clear" w:color="auto" w:fill="auto"/>
            <w:vAlign w:val="center"/>
          </w:tcPr>
          <w:p w:rsidR="00A6411A" w:rsidRDefault="00A6411A" w:rsidP="00675AB2">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5B9BD5" w:themeColor="accent1"/>
              <w:bottom w:val="nil"/>
            </w:tcBorders>
            <w:shd w:val="clear" w:color="auto" w:fill="auto"/>
            <w:vAlign w:val="center"/>
          </w:tcPr>
          <w:p w:rsidR="00A6411A" w:rsidRPr="009C5E28" w:rsidRDefault="00A6411A" w:rsidP="00675AB2">
            <w:pPr>
              <w:pStyle w:val="Beschriftung"/>
              <w:spacing w:after="0"/>
              <w:jc w:val="center"/>
              <w:rPr>
                <w:sz w:val="20"/>
              </w:rPr>
            </w:pPr>
            <w:r>
              <w:rPr>
                <w:sz w:val="20"/>
              </w:rPr>
              <w:t>-</w:t>
            </w:r>
          </w:p>
        </w:tc>
        <w:tc>
          <w:tcPr>
            <w:tcW w:w="3118" w:type="dxa"/>
            <w:gridSpan w:val="3"/>
            <w:tcBorders>
              <w:top w:val="single" w:sz="4" w:space="0" w:color="5B9BD5" w:themeColor="accent1"/>
              <w:bottom w:val="nil"/>
            </w:tcBorders>
            <w:shd w:val="clear" w:color="auto" w:fill="auto"/>
            <w:vAlign w:val="center"/>
          </w:tcPr>
          <w:p w:rsidR="00A6411A" w:rsidRPr="009C5E28" w:rsidRDefault="00A6411A" w:rsidP="00675AB2">
            <w:pPr>
              <w:pStyle w:val="Beschriftung"/>
              <w:spacing w:after="0"/>
              <w:jc w:val="center"/>
              <w:rPr>
                <w:sz w:val="20"/>
              </w:rPr>
            </w:pPr>
            <w:r>
              <w:rPr>
                <w:sz w:val="20"/>
              </w:rPr>
              <w:t>-</w:t>
            </w:r>
          </w:p>
        </w:tc>
      </w:tr>
      <w:tr w:rsidR="00A6411A" w:rsidRPr="009C5E28" w:rsidTr="00675AB2">
        <w:tc>
          <w:tcPr>
            <w:tcW w:w="1009" w:type="dxa"/>
            <w:tcBorders>
              <w:top w:val="single" w:sz="8" w:space="0" w:color="4F81BD"/>
              <w:left w:val="single" w:sz="8" w:space="0" w:color="4F81BD"/>
              <w:bottom w:val="single" w:sz="8" w:space="0" w:color="4F81BD"/>
            </w:tcBorders>
            <w:shd w:val="clear" w:color="auto" w:fill="auto"/>
            <w:vAlign w:val="center"/>
          </w:tcPr>
          <w:p w:rsidR="00A6411A" w:rsidRPr="009C5E28" w:rsidRDefault="00A6411A" w:rsidP="00675AB2">
            <w:pPr>
              <w:spacing w:after="0"/>
              <w:jc w:val="center"/>
              <w:rPr>
                <w:b/>
                <w:bCs/>
              </w:rPr>
            </w:pPr>
            <w:r>
              <w:rPr>
                <w:b/>
                <w:noProof/>
                <w:lang w:eastAsia="de-DE"/>
              </w:rPr>
              <w:drawing>
                <wp:inline distT="0" distB="0" distL="0" distR="0" wp14:anchorId="6F1B6185" wp14:editId="08792348">
                  <wp:extent cx="499745" cy="499745"/>
                  <wp:effectExtent l="0" t="0" r="0" b="0"/>
                  <wp:docPr id="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2A4B2D4A" wp14:editId="21154933">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48A5F0C9" wp14:editId="21131EE5">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759502CB" wp14:editId="70990A26">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3A273CEE" wp14:editId="0E594A4F">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128475FE" wp14:editId="7EAF5B13">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2845E4E2" wp14:editId="1C6A8B0B">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3E64EFC6" wp14:editId="414F6369">
                  <wp:extent cx="510540" cy="510540"/>
                  <wp:effectExtent l="0" t="0" r="3810" b="3810"/>
                  <wp:docPr id="2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10540" cy="51054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6411A" w:rsidRPr="009C5E28" w:rsidRDefault="00A6411A" w:rsidP="00675AB2">
            <w:pPr>
              <w:spacing w:after="0"/>
              <w:jc w:val="center"/>
            </w:pPr>
            <w:r>
              <w:rPr>
                <w:noProof/>
                <w:lang w:eastAsia="de-DE"/>
              </w:rPr>
              <w:drawing>
                <wp:inline distT="0" distB="0" distL="0" distR="0" wp14:anchorId="1DA57CE0" wp14:editId="70B46D05">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6411A" w:rsidRDefault="00A6411A" w:rsidP="00A6411A">
      <w:pPr>
        <w:tabs>
          <w:tab w:val="left" w:pos="1701"/>
          <w:tab w:val="left" w:pos="1985"/>
        </w:tabs>
        <w:ind w:left="1980" w:hanging="1980"/>
      </w:pPr>
    </w:p>
    <w:p w:rsidR="00A6411A" w:rsidRDefault="00A6411A" w:rsidP="00A6411A">
      <w:pPr>
        <w:tabs>
          <w:tab w:val="left" w:pos="1701"/>
          <w:tab w:val="left" w:pos="1985"/>
        </w:tabs>
        <w:ind w:left="1980" w:hanging="1980"/>
      </w:pPr>
      <w:r>
        <w:t xml:space="preserve">Materialien: </w:t>
      </w:r>
      <w:r>
        <w:tab/>
      </w:r>
      <w:r>
        <w:tab/>
        <w:t>Messzylinder (breit), Anspitzer aus Magnesium, Waage</w:t>
      </w:r>
    </w:p>
    <w:p w:rsidR="00A6411A" w:rsidRPr="00ED07C2" w:rsidRDefault="00A6411A" w:rsidP="00A6411A">
      <w:pPr>
        <w:tabs>
          <w:tab w:val="left" w:pos="1701"/>
          <w:tab w:val="left" w:pos="1985"/>
        </w:tabs>
        <w:ind w:left="1980" w:hanging="1980"/>
      </w:pPr>
      <w:r>
        <w:t>Chemikalien:</w:t>
      </w:r>
      <w:r>
        <w:tab/>
      </w:r>
      <w:r>
        <w:tab/>
        <w:t>Wasser</w:t>
      </w:r>
    </w:p>
    <w:p w:rsidR="00A6411A" w:rsidRDefault="00A6411A" w:rsidP="00A6411A">
      <w:pPr>
        <w:tabs>
          <w:tab w:val="left" w:pos="1701"/>
          <w:tab w:val="left" w:pos="1985"/>
        </w:tabs>
        <w:ind w:left="1980" w:hanging="1980"/>
      </w:pPr>
      <w:r>
        <w:t xml:space="preserve">Durchführung: </w:t>
      </w:r>
      <w:r>
        <w:tab/>
      </w:r>
      <w:r>
        <w:tab/>
      </w:r>
      <w:r>
        <w:tab/>
        <w:t>Der Anspitzer wird zunächst genau gewogen und die Masse auf 2 Nachkommastellen notiert.  Anschließend wir der Messzylinder mit einer definierten Menge Wasser (z.B. genau 50 mL) befüllt. Der Anspitzer wird nun in den mit Wasser gefüllten Messzylinder gelegt und das neue Wasservolumen abgelesen sowie im Heft notiert.</w:t>
      </w:r>
    </w:p>
    <w:p w:rsidR="00A6411A" w:rsidRDefault="00A6411A" w:rsidP="00A6411A">
      <w:pPr>
        <w:tabs>
          <w:tab w:val="left" w:pos="1701"/>
          <w:tab w:val="left" w:pos="1985"/>
        </w:tabs>
        <w:ind w:left="1980" w:hanging="1980"/>
      </w:pPr>
      <w:r>
        <w:t>Beobachtung:</w:t>
      </w:r>
      <w:r>
        <w:tab/>
      </w:r>
      <w:r>
        <w:tab/>
      </w:r>
      <w:r>
        <w:tab/>
        <w:t>Der Anspitzer verdrängt ca. 4,5 mL Wasser.</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929"/>
        <w:gridCol w:w="929"/>
      </w:tblGrid>
      <w:tr w:rsidR="00A6411A" w:rsidTr="00675AB2">
        <w:tc>
          <w:tcPr>
            <w:tcW w:w="2126" w:type="dxa"/>
          </w:tcPr>
          <w:p w:rsidR="00A6411A" w:rsidRDefault="00A6411A" w:rsidP="00675AB2">
            <w:pPr>
              <w:keepNext/>
              <w:tabs>
                <w:tab w:val="left" w:pos="1701"/>
                <w:tab w:val="left" w:pos="1985"/>
              </w:tabs>
            </w:pPr>
            <w:r>
              <w:rPr>
                <w:noProof/>
                <w:lang w:eastAsia="de-DE"/>
              </w:rPr>
              <w:drawing>
                <wp:inline distT="0" distB="0" distL="0" distR="0" wp14:anchorId="54C75C3D" wp14:editId="7F2A8113">
                  <wp:extent cx="3186030" cy="2389523"/>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2016-07-20 10.45.51.jpg"/>
                          <pic:cNvPicPr/>
                        </pic:nvPicPr>
                        <pic:blipFill>
                          <a:blip r:embed="rId14" cstate="print">
                            <a:extLst>
                              <a:ext uri="{28A0092B-C50C-407E-A947-70E740481C1C}">
                                <a14:useLocalDpi xmlns:a14="http://schemas.microsoft.com/office/drawing/2010/main"/>
                              </a:ext>
                            </a:extLst>
                          </a:blip>
                          <a:stretch>
                            <a:fillRect/>
                          </a:stretch>
                        </pic:blipFill>
                        <pic:spPr>
                          <a:xfrm>
                            <a:off x="0" y="0"/>
                            <a:ext cx="3190198" cy="2392649"/>
                          </a:xfrm>
                          <a:prstGeom prst="rect">
                            <a:avLst/>
                          </a:prstGeom>
                        </pic:spPr>
                      </pic:pic>
                    </a:graphicData>
                  </a:graphic>
                </wp:inline>
              </w:drawing>
            </w:r>
          </w:p>
        </w:tc>
        <w:tc>
          <w:tcPr>
            <w:tcW w:w="2478" w:type="dxa"/>
          </w:tcPr>
          <w:p w:rsidR="00A6411A" w:rsidRDefault="00A6411A" w:rsidP="00675AB2">
            <w:pPr>
              <w:keepNext/>
              <w:tabs>
                <w:tab w:val="left" w:pos="1701"/>
                <w:tab w:val="left" w:pos="1985"/>
              </w:tabs>
            </w:pPr>
          </w:p>
        </w:tc>
        <w:tc>
          <w:tcPr>
            <w:tcW w:w="2478" w:type="dxa"/>
          </w:tcPr>
          <w:p w:rsidR="00A6411A" w:rsidRDefault="00A6411A" w:rsidP="00675AB2">
            <w:pPr>
              <w:keepNext/>
              <w:tabs>
                <w:tab w:val="left" w:pos="1701"/>
                <w:tab w:val="left" w:pos="1985"/>
              </w:tabs>
            </w:pPr>
          </w:p>
        </w:tc>
      </w:tr>
      <w:tr w:rsidR="00A6411A" w:rsidTr="00675AB2">
        <w:tc>
          <w:tcPr>
            <w:tcW w:w="7082" w:type="dxa"/>
            <w:gridSpan w:val="3"/>
          </w:tcPr>
          <w:p w:rsidR="00A6411A" w:rsidRDefault="00A6411A" w:rsidP="00675AB2">
            <w:pPr>
              <w:pStyle w:val="Beschriftung"/>
            </w:pPr>
            <w:r>
              <w:t xml:space="preserve">Abb. </w:t>
            </w:r>
            <w:r>
              <w:fldChar w:fldCharType="begin"/>
            </w:r>
            <w:r>
              <w:instrText xml:space="preserve"> SEQ Abb. \* ARABIC </w:instrText>
            </w:r>
            <w:r>
              <w:fldChar w:fldCharType="separate"/>
            </w:r>
            <w:r w:rsidR="002A302E">
              <w:rPr>
                <w:noProof/>
              </w:rPr>
              <w:t>1</w:t>
            </w:r>
            <w:r>
              <w:rPr>
                <w:noProof/>
              </w:rPr>
              <w:fldChar w:fldCharType="end"/>
            </w:r>
            <w:r>
              <w:t>- Volumenbestimmung des Anspitzers.</w:t>
            </w:r>
          </w:p>
          <w:p w:rsidR="00A6411A" w:rsidRPr="005F7730" w:rsidRDefault="00A6411A" w:rsidP="00675AB2"/>
        </w:tc>
      </w:tr>
    </w:tbl>
    <w:p w:rsidR="00A6411A" w:rsidRDefault="00A6411A" w:rsidP="00A6411A">
      <w:pPr>
        <w:tabs>
          <w:tab w:val="left" w:pos="1701"/>
          <w:tab w:val="left" w:pos="1985"/>
        </w:tabs>
        <w:ind w:left="1980" w:hanging="1980"/>
        <w:rPr>
          <w:rFonts w:eastAsiaTheme="minorEastAsia"/>
        </w:rPr>
      </w:pPr>
      <w:r>
        <w:t xml:space="preserve">Deutung: </w:t>
      </w:r>
      <w:r>
        <w:tab/>
      </w:r>
      <w:r>
        <w:tab/>
        <w:t xml:space="preserve">Über die Dichte Beziehung </w:t>
      </w:r>
      <m:oMath>
        <m:r>
          <w:rPr>
            <w:rFonts w:ascii="Cambria Math" w:hAnsi="Cambria Math"/>
          </w:rPr>
          <m:t>φ=</m:t>
        </m:r>
        <m:f>
          <m:fPr>
            <m:ctrlPr>
              <w:rPr>
                <w:rFonts w:ascii="Cambria Math" w:hAnsi="Cambria Math"/>
              </w:rPr>
            </m:ctrlPr>
          </m:fPr>
          <m:num>
            <m:r>
              <m:rPr>
                <m:sty m:val="p"/>
              </m:rPr>
              <w:rPr>
                <w:rFonts w:ascii="Cambria Math" w:hAnsi="Cambria Math"/>
              </w:rPr>
              <m:t>m</m:t>
            </m:r>
          </m:num>
          <m:den>
            <m:r>
              <m:rPr>
                <m:sty m:val="p"/>
              </m:rPr>
              <w:rPr>
                <w:rFonts w:ascii="Cambria Math" w:hAnsi="Cambria Math"/>
              </w:rPr>
              <m:t>V</m:t>
            </m:r>
          </m:den>
        </m:f>
      </m:oMath>
      <w:r>
        <w:rPr>
          <w:rFonts w:eastAsiaTheme="minorEastAsia"/>
        </w:rPr>
        <w:t xml:space="preserve"> kann aus der Masse des Anspitzers und dem ermittelten Volumen seine Dichte berechnet werden. Als Dichte wird folgender Wert erhalten: </w:t>
      </w:r>
    </w:p>
    <w:p w:rsidR="00A6411A" w:rsidRDefault="00A6411A" w:rsidP="00A6411A">
      <w:pPr>
        <w:tabs>
          <w:tab w:val="left" w:pos="1701"/>
          <w:tab w:val="left" w:pos="1985"/>
        </w:tabs>
        <w:ind w:left="1980" w:hanging="1980"/>
        <w:rPr>
          <w:rFonts w:eastAsiaTheme="minorEastAsia"/>
        </w:rPr>
      </w:pPr>
      <w:r>
        <w:rPr>
          <w:rFonts w:eastAsiaTheme="minorEastAsia"/>
        </w:rPr>
        <w:tab/>
      </w:r>
      <w:r>
        <w:rPr>
          <w:rFonts w:eastAsiaTheme="minorEastAsia"/>
        </w:rPr>
        <w:tab/>
      </w:r>
      <m:oMath>
        <m:r>
          <w:rPr>
            <w:rFonts w:ascii="Cambria Math" w:hAnsi="Cambria Math"/>
          </w:rPr>
          <m:t>φ=</m:t>
        </m:r>
        <m:f>
          <m:fPr>
            <m:ctrlPr>
              <w:rPr>
                <w:rFonts w:ascii="Cambria Math" w:hAnsi="Cambria Math"/>
              </w:rPr>
            </m:ctrlPr>
          </m:fPr>
          <m:num>
            <m:r>
              <m:rPr>
                <m:sty m:val="p"/>
              </m:rPr>
              <w:rPr>
                <w:rFonts w:ascii="Cambria Math" w:hAnsi="Cambria Math"/>
              </w:rPr>
              <m:t>m</m:t>
            </m:r>
          </m:num>
          <m:den>
            <m:r>
              <m:rPr>
                <m:sty m:val="p"/>
              </m:rPr>
              <w:rPr>
                <w:rFonts w:ascii="Cambria Math" w:hAnsi="Cambria Math"/>
              </w:rPr>
              <m:t>V</m:t>
            </m:r>
          </m:den>
        </m:f>
        <m:r>
          <w:rPr>
            <w:rFonts w:ascii="Cambria Math" w:hAnsi="Cambria Math"/>
          </w:rPr>
          <m:t>=</m:t>
        </m:r>
        <m:f>
          <m:fPr>
            <m:ctrlPr>
              <w:rPr>
                <w:rFonts w:ascii="Cambria Math" w:hAnsi="Cambria Math"/>
              </w:rPr>
            </m:ctrlPr>
          </m:fPr>
          <m:num>
            <m:r>
              <m:rPr>
                <m:sty m:val="p"/>
              </m:rPr>
              <w:rPr>
                <w:rFonts w:ascii="Cambria Math" w:hAnsi="Cambria Math"/>
              </w:rPr>
              <m:t>8,48 g</m:t>
            </m:r>
          </m:num>
          <m:den>
            <m:r>
              <m:rPr>
                <m:sty m:val="p"/>
              </m:rPr>
              <w:rPr>
                <w:rFonts w:ascii="Cambria Math" w:hAnsi="Cambria Math"/>
              </w:rPr>
              <m:t>4,5 </m:t>
            </m:r>
            <m:sSup>
              <m:sSupPr>
                <m:ctrlPr>
                  <w:rPr>
                    <w:rFonts w:ascii="Cambria Math" w:hAnsi="Cambria Math"/>
                  </w:rPr>
                </m:ctrlPr>
              </m:sSupPr>
              <m:e>
                <m:r>
                  <m:rPr>
                    <m:sty m:val="p"/>
                  </m:rPr>
                  <w:rPr>
                    <w:rFonts w:ascii="Cambria Math" w:hAnsi="Cambria Math"/>
                  </w:rPr>
                  <m:t>cm</m:t>
                </m:r>
              </m:e>
              <m:sup>
                <m:r>
                  <w:rPr>
                    <w:rFonts w:ascii="Cambria Math" w:hAnsi="Cambria Math"/>
                  </w:rPr>
                  <m:t>3</m:t>
                </m:r>
              </m:sup>
            </m:sSup>
          </m:den>
        </m:f>
        <m:r>
          <w:rPr>
            <w:rFonts w:ascii="Cambria Math" w:hAnsi="Cambria Math"/>
          </w:rPr>
          <m:t xml:space="preserve">=1,88 </m:t>
        </m:r>
        <m:f>
          <m:fPr>
            <m:ctrlPr>
              <w:rPr>
                <w:rFonts w:ascii="Cambria Math" w:hAnsi="Cambria Math"/>
              </w:rPr>
            </m:ctrlPr>
          </m:fPr>
          <m:num>
            <m:r>
              <m:rPr>
                <m:sty m:val="p"/>
              </m:rPr>
              <w:rPr>
                <w:rFonts w:ascii="Cambria Math" w:hAnsi="Cambria Math"/>
              </w:rPr>
              <m:t>g</m:t>
            </m:r>
          </m:num>
          <m:den>
            <m:sSup>
              <m:sSupPr>
                <m:ctrlPr>
                  <w:rPr>
                    <w:rFonts w:ascii="Cambria Math" w:hAnsi="Cambria Math"/>
                  </w:rPr>
                </m:ctrlPr>
              </m:sSupPr>
              <m:e>
                <m:r>
                  <m:rPr>
                    <m:sty m:val="p"/>
                  </m:rPr>
                  <w:rPr>
                    <w:rFonts w:ascii="Cambria Math" w:hAnsi="Cambria Math"/>
                  </w:rPr>
                  <m:t>cm</m:t>
                </m:r>
              </m:e>
              <m:sup>
                <m:r>
                  <w:rPr>
                    <w:rFonts w:ascii="Cambria Math" w:hAnsi="Cambria Math"/>
                  </w:rPr>
                  <m:t>3</m:t>
                </m:r>
              </m:sup>
            </m:sSup>
          </m:den>
        </m:f>
      </m:oMath>
    </w:p>
    <w:p w:rsidR="00A6411A" w:rsidRPr="007A5AE8" w:rsidRDefault="00A6411A" w:rsidP="00A6411A">
      <w:pPr>
        <w:tabs>
          <w:tab w:val="left" w:pos="1701"/>
          <w:tab w:val="left" w:pos="1985"/>
        </w:tabs>
        <w:ind w:left="1980" w:hanging="1980"/>
        <w:rPr>
          <w:rFonts w:eastAsiaTheme="minorEastAsia"/>
        </w:rPr>
      </w:pPr>
      <w:r>
        <w:rPr>
          <w:rFonts w:eastAsiaTheme="minorEastAsia"/>
        </w:rPr>
        <w:lastRenderedPageBreak/>
        <w:tab/>
      </w:r>
      <w:r>
        <w:rPr>
          <w:rFonts w:eastAsiaTheme="minorEastAsia"/>
        </w:rPr>
        <w:tab/>
        <w:t>In der Literatur wird eine Dichte von 1,74</w:t>
      </w:r>
      <w:r>
        <w:rPr>
          <w:rFonts w:eastAsiaTheme="minorEastAsia"/>
          <w:vertAlign w:val="superscript"/>
        </w:rPr>
        <w:t>[1]</w:t>
      </w:r>
      <w:r>
        <w:rPr>
          <w:rFonts w:eastAsiaTheme="minorEastAsia"/>
        </w:rPr>
        <w:t xml:space="preserve"> </w:t>
      </w:r>
      <m:oMath>
        <m:f>
          <m:fPr>
            <m:ctrlPr>
              <w:rPr>
                <w:rFonts w:ascii="Cambria Math" w:hAnsi="Cambria Math"/>
              </w:rPr>
            </m:ctrlPr>
          </m:fPr>
          <m:num>
            <m:r>
              <m:rPr>
                <m:sty m:val="p"/>
              </m:rPr>
              <w:rPr>
                <w:rFonts w:ascii="Cambria Math" w:hAnsi="Cambria Math"/>
              </w:rPr>
              <m:t>g</m:t>
            </m:r>
          </m:num>
          <m:den>
            <m:sSup>
              <m:sSupPr>
                <m:ctrlPr>
                  <w:rPr>
                    <w:rFonts w:ascii="Cambria Math" w:hAnsi="Cambria Math"/>
                  </w:rPr>
                </m:ctrlPr>
              </m:sSupPr>
              <m:e>
                <m:r>
                  <m:rPr>
                    <m:sty m:val="p"/>
                  </m:rPr>
                  <w:rPr>
                    <w:rFonts w:ascii="Cambria Math" w:hAnsi="Cambria Math"/>
                  </w:rPr>
                  <m:t>cm</m:t>
                </m:r>
              </m:e>
              <m:sup>
                <m:r>
                  <w:rPr>
                    <w:rFonts w:ascii="Cambria Math" w:hAnsi="Cambria Math"/>
                  </w:rPr>
                  <m:t>3</m:t>
                </m:r>
              </m:sup>
            </m:sSup>
          </m:den>
        </m:f>
      </m:oMath>
      <w:r>
        <w:rPr>
          <w:rFonts w:eastAsiaTheme="minorEastAsia"/>
        </w:rPr>
        <w:t xml:space="preserve"> angegeben. Kleine Fehler ergeben sich durch die fehlerhafte Volumenbestimmung des Anspitzers und dem Umstand, dass die Klinge und Schrauben aus anderen Metallen bestehen.</w:t>
      </w:r>
    </w:p>
    <w:p w:rsidR="00A6411A" w:rsidRDefault="00A6411A" w:rsidP="00A6411A">
      <w:pPr>
        <w:tabs>
          <w:tab w:val="left" w:pos="1701"/>
          <w:tab w:val="left" w:pos="1985"/>
        </w:tabs>
        <w:ind w:left="1980" w:hanging="1980"/>
      </w:pPr>
      <w:r>
        <w:rPr>
          <w:rFonts w:eastAsiaTheme="minorEastAsia"/>
        </w:rPr>
        <w:t>E</w:t>
      </w:r>
      <w:r>
        <w:t xml:space="preserve">ntsorgung: </w:t>
      </w:r>
      <w:r>
        <w:tab/>
      </w:r>
      <w:r>
        <w:tab/>
        <w:t>Das Wasser kann über den Ausguss entsorgt werden. Der Anspitzer kann wieder verwendet werden!</w:t>
      </w:r>
    </w:p>
    <w:p w:rsidR="00A6411A" w:rsidRDefault="00A6411A" w:rsidP="00A6411A">
      <w:pPr>
        <w:tabs>
          <w:tab w:val="left" w:pos="1701"/>
          <w:tab w:val="left" w:pos="1985"/>
        </w:tabs>
        <w:ind w:left="1980" w:hanging="1980"/>
      </w:pPr>
      <w:r>
        <w:t xml:space="preserve">Literatur: </w:t>
      </w:r>
      <w:r>
        <w:tab/>
      </w:r>
      <w:r>
        <w:tab/>
      </w:r>
      <w:bookmarkStart w:id="2" w:name="_CTVL0016bc13831b0af4b988ae8b635179c0d69"/>
      <w:r>
        <w:t xml:space="preserve">[1] Becker, F.-M. (2013). </w:t>
      </w:r>
      <w:bookmarkEnd w:id="2"/>
      <w:r w:rsidRPr="00A92340">
        <w:rPr>
          <w:i/>
        </w:rPr>
        <w:t>Formelsammlung: Formeln, Tabellen, Daten ; Mathematik, Physik, Astronomie, Chemie, Biologie, Informatik</w:t>
      </w:r>
      <w:r w:rsidRPr="00A92340">
        <w:t xml:space="preserve">. Berlin: Duden </w:t>
      </w:r>
      <w:proofErr w:type="spellStart"/>
      <w:r w:rsidRPr="00A92340">
        <w:t>Paetec</w:t>
      </w:r>
      <w:proofErr w:type="spellEnd"/>
      <w:r w:rsidRPr="00A92340">
        <w:t xml:space="preserve"> Schulbuchverl.</w:t>
      </w:r>
    </w:p>
    <w:p w:rsidR="00C715E1" w:rsidRDefault="00C715E1"/>
    <w:sectPr w:rsidR="00C715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1A"/>
    <w:rsid w:val="002A302E"/>
    <w:rsid w:val="00A6411A"/>
    <w:rsid w:val="00C715E1"/>
    <w:rsid w:val="00DC7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603DC-913F-42A4-A6F0-C11A03E1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411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6411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6411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6411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6411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A6411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A6411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A641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641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641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11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A6411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A6411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A6411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A6411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A6411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A6411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641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6411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6411A"/>
    <w:pPr>
      <w:spacing w:line="240" w:lineRule="auto"/>
    </w:pPr>
    <w:rPr>
      <w:bCs/>
      <w:color w:val="auto"/>
      <w:sz w:val="18"/>
      <w:szCs w:val="18"/>
    </w:rPr>
  </w:style>
  <w:style w:type="table" w:styleId="Tabellenraster">
    <w:name w:val="Table Grid"/>
    <w:basedOn w:val="NormaleTabelle"/>
    <w:uiPriority w:val="59"/>
    <w:rsid w:val="00A6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2</cp:revision>
  <cp:lastPrinted>2016-08-09T12:58:00Z</cp:lastPrinted>
  <dcterms:created xsi:type="dcterms:W3CDTF">2016-08-09T12:57:00Z</dcterms:created>
  <dcterms:modified xsi:type="dcterms:W3CDTF">2016-08-09T12:59:00Z</dcterms:modified>
</cp:coreProperties>
</file>