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3DB7" w:rsidRPr="004665CB" w:rsidRDefault="004B3F7D" w:rsidP="00DD3DB7">
      <w:pPr>
        <w:pStyle w:val="berschrift2"/>
        <w:numPr>
          <w:ilvl w:val="0"/>
          <w:numId w:val="0"/>
        </w:numPr>
        <w:spacing w:after="200"/>
        <w:ind w:left="576" w:hanging="576"/>
        <w:rPr>
          <w:color w:val="auto"/>
        </w:rPr>
      </w:pPr>
      <w:r w:rsidRPr="004665CB">
        <w:rPr>
          <w:noProof/>
          <w:lang w:eastAsia="de-DE"/>
        </w:rPr>
        <mc:AlternateContent>
          <mc:Choice Requires="wps">
            <w:drawing>
              <wp:anchor distT="0" distB="0" distL="114300" distR="114300" simplePos="0" relativeHeight="251659264" behindDoc="0" locked="0" layoutInCell="1" allowOverlap="1" wp14:anchorId="0D31CF96" wp14:editId="4AF55847">
                <wp:simplePos x="0" y="0"/>
                <wp:positionH relativeFrom="margin">
                  <wp:align>left</wp:align>
                </wp:positionH>
                <wp:positionV relativeFrom="paragraph">
                  <wp:posOffset>535219</wp:posOffset>
                </wp:positionV>
                <wp:extent cx="5873115" cy="1216025"/>
                <wp:effectExtent l="0" t="0" r="13335" b="22225"/>
                <wp:wrapSquare wrapText="bothSides"/>
                <wp:docPr id="49" name="Text Box 60"/>
                <wp:cNvGraphicFramePr/>
                <a:graphic xmlns:a="http://schemas.openxmlformats.org/drawingml/2006/main">
                  <a:graphicData uri="http://schemas.microsoft.com/office/word/2010/wordprocessingShape">
                    <wps:wsp>
                      <wps:cNvSpPr txBox="1"/>
                      <wps:spPr>
                        <a:xfrm>
                          <a:off x="0" y="0"/>
                          <a:ext cx="5873115" cy="1216025"/>
                        </a:xfrm>
                        <a:prstGeom prst="rect">
                          <a:avLst/>
                        </a:prstGeom>
                        <a:solidFill>
                          <a:srgbClr val="FFFFFF"/>
                        </a:solidFill>
                        <a:ln w="12700" cap="flat" cmpd="sng">
                          <a:solidFill>
                            <a:srgbClr val="4BACC6"/>
                          </a:solidFill>
                          <a:prstDash val="dash"/>
                          <a:miter/>
                          <a:headEnd type="none" w="med" len="med"/>
                          <a:tailEnd type="none" w="med" len="med"/>
                        </a:ln>
                      </wps:spPr>
                      <wps:txbx>
                        <w:txbxContent>
                          <w:p w:rsidR="004B3F7D" w:rsidRDefault="004B3F7D" w:rsidP="004B3F7D">
                            <w:pPr>
                              <w:rPr>
                                <w:color w:val="auto"/>
                              </w:rPr>
                            </w:pPr>
                            <w:r w:rsidRPr="003A7D33">
                              <w:rPr>
                                <w:rFonts w:eastAsia="Calibri" w:cs="Arial"/>
                                <w:color w:val="auto"/>
                                <w:lang w:eastAsia="zh-CN" w:bidi="ar"/>
                              </w:rPr>
                              <w:t xml:space="preserve">Ziel dieses Versuches ist es, vor allem bei Schülern der 5. </w:t>
                            </w:r>
                            <w:r w:rsidRPr="00106D2C">
                              <w:rPr>
                                <w:rFonts w:eastAsia="Calibri" w:cs="Arial"/>
                                <w:color w:val="auto"/>
                                <w:lang w:eastAsia="zh-CN" w:bidi="ar"/>
                              </w:rPr>
                              <w:t xml:space="preserve">Klasse der Fehlvorstellung vom „Verschwinden“ eines Stoffes, den man nicht mehr sehen kann, entgegenzuwirken. </w:t>
                            </w:r>
                            <w:r w:rsidRPr="003A7D33">
                              <w:rPr>
                                <w:rFonts w:eastAsia="Calibri" w:cs="Arial"/>
                                <w:color w:val="auto"/>
                                <w:lang w:eastAsia="zh-CN" w:bidi="ar"/>
                              </w:rPr>
                              <w:t>Kochsalz wird in Wasser gelöst, anschließend werden Salz und Wasser durch Eindampfen wieder getrennt. Das Konzept des Lösens von Stoffen in Wasser sollte auf einem grundlegenden Niveau bekannt sein.</w:t>
                            </w:r>
                          </w:p>
                        </w:txbxContent>
                      </wps:txbx>
                      <wps:bodyPr vert="horz" wrap="square" anchor="t" upright="1"/>
                    </wps:wsp>
                  </a:graphicData>
                </a:graphic>
              </wp:anchor>
            </w:drawing>
          </mc:Choice>
          <mc:Fallback>
            <w:pict>
              <v:shapetype w14:anchorId="0D31CF96" id="_x0000_t202" coordsize="21600,21600" o:spt="202" path="m,l,21600r21600,l21600,xe">
                <v:stroke joinstyle="miter"/>
                <v:path gradientshapeok="t" o:connecttype="rect"/>
              </v:shapetype>
              <v:shape id="Text Box 60" o:spid="_x0000_s1026" type="#_x0000_t202" style="position:absolute;left:0;text-align:left;margin-left:0;margin-top:42.15pt;width:462.45pt;height:95.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" strokecolor="#4bacc6" strokeweight="1pt">
                <v:stroke dashstyle="dash"/>
                <v:textbox>
                  <w:txbxContent>
                    <w:p w:rsidR="004B3F7D" w:rsidRDefault="004B3F7D" w:rsidP="004B3F7D">
                      <w:pPr>
                        <w:rPr>
                          <w:color w:val="auto"/>
                        </w:rPr>
                      </w:pPr>
                      <w:r w:rsidRPr="003A7D33">
                        <w:rPr>
                          <w:rFonts w:eastAsia="Calibri" w:cs="Arial"/>
                          <w:color w:val="auto"/>
                          <w:lang w:eastAsia="zh-CN" w:bidi="ar"/>
                        </w:rPr>
                        <w:t xml:space="preserve">Ziel dieses Versuches ist es, vor allem bei Schülern der 5. </w:t>
                      </w:r>
                      <w:r w:rsidRPr="00106D2C">
                        <w:rPr>
                          <w:rFonts w:eastAsia="Calibri" w:cs="Arial"/>
                          <w:color w:val="auto"/>
                          <w:lang w:eastAsia="zh-CN" w:bidi="ar"/>
                        </w:rPr>
                        <w:t xml:space="preserve">Klasse der Fehlvorstellung vom „Verschwinden“ eines Stoffes, den man nicht mehr sehen kann, entgegenzuwirken. </w:t>
                      </w:r>
                      <w:r w:rsidRPr="003A7D33">
                        <w:rPr>
                          <w:rFonts w:eastAsia="Calibri" w:cs="Arial"/>
                          <w:color w:val="auto"/>
                          <w:lang w:eastAsia="zh-CN" w:bidi="ar"/>
                        </w:rPr>
                        <w:t>Kochsalz wird in Wasser gelöst, anschließend werden Salz und Wasser durch Eindampfen wieder getrennt. Das Konzept des Lösens von Stoffen in Wasser sollte auf einem grundlegenden Niveau bekannt sein.</w:t>
                      </w:r>
                    </w:p>
                  </w:txbxContent>
                </v:textbox>
                <w10:wrap type="square" anchorx="margin"/>
              </v:shape>
            </w:pict>
          </mc:Fallback>
        </mc:AlternateContent>
      </w:r>
      <w:r w:rsidR="00DD3DB7" w:rsidRPr="004665CB">
        <w:rPr>
          <w:color w:val="auto"/>
        </w:rPr>
        <w:t>Nichts geht verloren!</w:t>
      </w:r>
    </w:p>
    <w:p w:rsidR="00DD3DB7" w:rsidRPr="004665CB" w:rsidRDefault="00DD3DB7" w:rsidP="00DD3DB7">
      <w:pPr>
        <w:pStyle w:val="berschrift2"/>
        <w:numPr>
          <w:ilvl w:val="1"/>
          <w:numId w:val="0"/>
        </w:numPr>
      </w:pPr>
      <w:bookmarkStart w:id="1" w:name="_Toc425776595"/>
      <w:bookmarkStart w:id="2" w:name="_Toc456688591"/>
      <w:bookmarkStart w:id="3" w:name="_Toc456688607"/>
      <w:bookmarkEnd w:id="1"/>
      <w:bookmarkEnd w:id="2"/>
      <w:bookmarkEnd w:id="3"/>
    </w:p>
    <w:tbl>
      <w:tblPr>
        <w:tblW w:w="9320" w:type="dxa"/>
        <w:tblLayout w:type="fixed"/>
        <w:tblCellMar>
          <w:left w:w="100" w:type="dxa"/>
          <w:right w:w="100" w:type="dxa"/>
        </w:tblCellMar>
        <w:tblLook w:val="04A0" w:firstRow="1" w:lastRow="0" w:firstColumn="1" w:lastColumn="0" w:noHBand="0" w:noVBand="1"/>
      </w:tblPr>
      <w:tblGrid>
        <w:gridCol w:w="1000"/>
        <w:gridCol w:w="1000"/>
        <w:gridCol w:w="1020"/>
        <w:gridCol w:w="1000"/>
        <w:gridCol w:w="1160"/>
        <w:gridCol w:w="1000"/>
        <w:gridCol w:w="960"/>
        <w:gridCol w:w="1000"/>
        <w:gridCol w:w="1180"/>
      </w:tblGrid>
      <w:tr w:rsidR="00DD3DB7" w:rsidRPr="004665CB" w:rsidTr="00C337DA">
        <w:tc>
          <w:tcPr>
            <w:tcW w:w="9320" w:type="dxa"/>
            <w:gridSpan w:val="9"/>
            <w:tcBorders>
              <w:top w:val="single" w:sz="8" w:space="0" w:color="4F81BD"/>
              <w:left w:val="single" w:sz="8" w:space="0" w:color="4F81BD"/>
              <w:bottom w:val="nil"/>
              <w:right w:val="single" w:sz="8" w:space="0" w:color="4F81BD"/>
            </w:tcBorders>
            <w:shd w:val="clear" w:color="auto" w:fill="4F81BD"/>
            <w:vAlign w:val="center"/>
          </w:tcPr>
          <w:p w:rsidR="00DD3DB7" w:rsidRPr="004665CB" w:rsidRDefault="00DD3DB7" w:rsidP="00C337DA">
            <w:pPr>
              <w:spacing w:after="0"/>
              <w:jc w:val="center"/>
              <w:rPr>
                <w:b/>
                <w:color w:val="FFFFFF"/>
              </w:rPr>
            </w:pPr>
            <w:r w:rsidRPr="004665CB">
              <w:rPr>
                <w:rFonts w:eastAsia="Calibri" w:cs="Arial"/>
                <w:b/>
                <w:color w:val="FFFFFF"/>
                <w:lang w:eastAsia="zh-CN" w:bidi="ar"/>
              </w:rPr>
              <w:t>Gefahrenstoffe</w:t>
            </w:r>
          </w:p>
        </w:tc>
      </w:tr>
      <w:tr w:rsidR="00DD3DB7" w:rsidRPr="004665CB" w:rsidTr="00C337DA">
        <w:trPr>
          <w:trHeight w:val="420"/>
        </w:trPr>
        <w:tc>
          <w:tcPr>
            <w:tcW w:w="3020" w:type="dxa"/>
            <w:gridSpan w:val="3"/>
            <w:tcBorders>
              <w:top w:val="single" w:sz="8" w:space="0" w:color="4F81BD"/>
              <w:left w:val="single" w:sz="8" w:space="0" w:color="4F81BD"/>
              <w:bottom w:val="single" w:sz="8" w:space="0" w:color="4F81BD"/>
              <w:right w:val="nil"/>
            </w:tcBorders>
            <w:shd w:val="clear" w:color="auto" w:fill="auto"/>
            <w:vAlign w:val="center"/>
          </w:tcPr>
          <w:p w:rsidR="00DD3DB7" w:rsidRPr="004665CB" w:rsidRDefault="00DD3DB7" w:rsidP="00C337DA">
            <w:pPr>
              <w:spacing w:after="0" w:line="276" w:lineRule="auto"/>
              <w:jc w:val="center"/>
              <w:rPr>
                <w:b/>
              </w:rPr>
            </w:pPr>
            <w:r w:rsidRPr="004665CB">
              <w:rPr>
                <w:rFonts w:eastAsia="Calibri" w:cs="Arial"/>
                <w:color w:val="1D1B11"/>
                <w:sz w:val="20"/>
                <w:lang w:eastAsia="zh-CN" w:bidi="ar"/>
              </w:rPr>
              <w:t>Wasser</w:t>
            </w:r>
          </w:p>
        </w:tc>
        <w:tc>
          <w:tcPr>
            <w:tcW w:w="3160" w:type="dxa"/>
            <w:gridSpan w:val="3"/>
            <w:tcBorders>
              <w:top w:val="single" w:sz="8" w:space="0" w:color="4F81BD"/>
              <w:left w:val="nil"/>
              <w:bottom w:val="single" w:sz="8" w:space="0" w:color="4F81BD"/>
              <w:right w:val="nil"/>
            </w:tcBorders>
            <w:shd w:val="clear" w:color="auto" w:fill="auto"/>
            <w:vAlign w:val="center"/>
          </w:tcPr>
          <w:p w:rsidR="00DD3DB7" w:rsidRPr="004665CB" w:rsidRDefault="00DD3DB7" w:rsidP="00C337DA">
            <w:pPr>
              <w:spacing w:after="0"/>
              <w:jc w:val="center"/>
            </w:pPr>
            <w:r w:rsidRPr="004665CB">
              <w:rPr>
                <w:rFonts w:eastAsia="Calibri" w:cs="Arial"/>
                <w:color w:val="1D1B11"/>
                <w:sz w:val="20"/>
                <w:lang w:eastAsia="zh-CN" w:bidi="ar"/>
              </w:rPr>
              <w:t xml:space="preserve">H: </w:t>
            </w:r>
            <w:r w:rsidRPr="004665CB">
              <w:rPr>
                <w:rFonts w:eastAsia="Calibri" w:cs="Arial"/>
                <w:color w:val="1D1B11"/>
                <w:lang w:eastAsia="zh-CN" w:bidi="ar"/>
              </w:rPr>
              <w:t>-</w:t>
            </w:r>
          </w:p>
        </w:tc>
        <w:tc>
          <w:tcPr>
            <w:tcW w:w="3100" w:type="dxa"/>
            <w:gridSpan w:val="3"/>
            <w:tcBorders>
              <w:top w:val="single" w:sz="8" w:space="0" w:color="4F81BD"/>
              <w:left w:val="nil"/>
              <w:bottom w:val="single" w:sz="8" w:space="0" w:color="4F81BD"/>
              <w:right w:val="single" w:sz="8" w:space="0" w:color="4F81BD"/>
            </w:tcBorders>
            <w:shd w:val="clear" w:color="auto" w:fill="auto"/>
            <w:vAlign w:val="center"/>
          </w:tcPr>
          <w:p w:rsidR="00DD3DB7" w:rsidRPr="004665CB" w:rsidRDefault="00DD3DB7" w:rsidP="00C337DA">
            <w:pPr>
              <w:spacing w:after="0"/>
              <w:jc w:val="center"/>
            </w:pPr>
            <w:r w:rsidRPr="004665CB">
              <w:rPr>
                <w:rFonts w:eastAsia="Calibri" w:cs="Arial"/>
                <w:color w:val="1D1B11"/>
                <w:sz w:val="20"/>
                <w:lang w:eastAsia="zh-CN" w:bidi="ar"/>
              </w:rPr>
              <w:t xml:space="preserve">P: </w:t>
            </w:r>
            <w:r w:rsidRPr="004665CB">
              <w:rPr>
                <w:rFonts w:eastAsia="Calibri" w:cs="Arial"/>
                <w:color w:val="1D1B11"/>
                <w:lang w:eastAsia="zh-CN" w:bidi="ar"/>
              </w:rPr>
              <w:t>-</w:t>
            </w:r>
          </w:p>
        </w:tc>
      </w:tr>
      <w:tr w:rsidR="00DD3DB7" w:rsidRPr="004665CB" w:rsidTr="00C337DA">
        <w:trPr>
          <w:trHeight w:val="420"/>
        </w:trPr>
        <w:tc>
          <w:tcPr>
            <w:tcW w:w="3020" w:type="dxa"/>
            <w:gridSpan w:val="3"/>
            <w:tcBorders>
              <w:top w:val="nil"/>
              <w:left w:val="single" w:sz="8" w:space="0" w:color="4F81BD"/>
              <w:bottom w:val="nil"/>
              <w:right w:val="nil"/>
            </w:tcBorders>
            <w:shd w:val="clear" w:color="auto" w:fill="auto"/>
            <w:vAlign w:val="center"/>
          </w:tcPr>
          <w:p w:rsidR="00DD3DB7" w:rsidRPr="004665CB" w:rsidRDefault="00DD3DB7" w:rsidP="00C337DA">
            <w:pPr>
              <w:spacing w:after="0" w:line="276" w:lineRule="auto"/>
              <w:jc w:val="center"/>
              <w:rPr>
                <w:bCs/>
                <w:sz w:val="20"/>
              </w:rPr>
            </w:pPr>
            <w:r w:rsidRPr="004665CB">
              <w:rPr>
                <w:rFonts w:eastAsia="Calibri" w:cs="Arial"/>
                <w:color w:val="auto"/>
                <w:sz w:val="20"/>
                <w:szCs w:val="20"/>
                <w:lang w:eastAsia="zh-CN" w:bidi="ar"/>
              </w:rPr>
              <w:t>NaCl</w:t>
            </w:r>
          </w:p>
        </w:tc>
        <w:tc>
          <w:tcPr>
            <w:tcW w:w="3160" w:type="dxa"/>
            <w:gridSpan w:val="3"/>
            <w:tcBorders>
              <w:top w:val="nil"/>
              <w:left w:val="nil"/>
              <w:bottom w:val="nil"/>
              <w:right w:val="nil"/>
            </w:tcBorders>
            <w:shd w:val="clear" w:color="auto" w:fill="auto"/>
            <w:vAlign w:val="center"/>
          </w:tcPr>
          <w:p w:rsidR="00DD3DB7" w:rsidRPr="004665CB" w:rsidRDefault="00DD3DB7" w:rsidP="00C337DA">
            <w:pPr>
              <w:pStyle w:val="StandardWeb"/>
              <w:spacing w:before="0" w:beforeAutospacing="0" w:after="0" w:afterAutospacing="0" w:line="276" w:lineRule="auto"/>
              <w:jc w:val="center"/>
              <w:rPr>
                <w:sz w:val="20"/>
                <w:szCs w:val="18"/>
              </w:rPr>
            </w:pPr>
            <w:r w:rsidRPr="004665CB">
              <w:rPr>
                <w:rFonts w:ascii="Cambria" w:eastAsia="Calibri" w:hAnsi="Cambria" w:cs="Arial"/>
                <w:bCs/>
                <w:sz w:val="20"/>
                <w:szCs w:val="18"/>
                <w:lang w:eastAsia="zh-CN" w:bidi="ar"/>
              </w:rPr>
              <w:t xml:space="preserve">H: </w:t>
            </w:r>
            <w:r w:rsidRPr="004665CB">
              <w:rPr>
                <w:rFonts w:ascii="Cambria" w:eastAsia="Calibri" w:hAnsi="Cambria" w:cs="Arial"/>
                <w:bCs/>
                <w:sz w:val="18"/>
                <w:szCs w:val="18"/>
                <w:lang w:eastAsia="zh-CN" w:bidi="ar"/>
              </w:rPr>
              <w:t>-</w:t>
            </w:r>
          </w:p>
        </w:tc>
        <w:tc>
          <w:tcPr>
            <w:tcW w:w="3100" w:type="dxa"/>
            <w:gridSpan w:val="3"/>
            <w:tcBorders>
              <w:top w:val="nil"/>
              <w:left w:val="nil"/>
              <w:bottom w:val="nil"/>
              <w:right w:val="single" w:sz="8" w:space="0" w:color="4F81BD"/>
            </w:tcBorders>
            <w:shd w:val="clear" w:color="auto" w:fill="auto"/>
            <w:vAlign w:val="center"/>
          </w:tcPr>
          <w:p w:rsidR="00DD3DB7" w:rsidRPr="004665CB" w:rsidRDefault="00DD3DB7" w:rsidP="00C337DA">
            <w:pPr>
              <w:pStyle w:val="StandardWeb"/>
              <w:spacing w:before="0" w:beforeAutospacing="0" w:after="0" w:afterAutospacing="0" w:line="276" w:lineRule="auto"/>
              <w:jc w:val="center"/>
              <w:rPr>
                <w:sz w:val="20"/>
                <w:szCs w:val="18"/>
              </w:rPr>
            </w:pPr>
            <w:r w:rsidRPr="004665CB">
              <w:rPr>
                <w:rFonts w:ascii="Cambria" w:eastAsia="Calibri" w:hAnsi="Cambria" w:cs="Arial"/>
                <w:bCs/>
                <w:sz w:val="20"/>
                <w:szCs w:val="18"/>
                <w:lang w:eastAsia="zh-CN" w:bidi="ar"/>
              </w:rPr>
              <w:t xml:space="preserve">P: </w:t>
            </w:r>
            <w:r w:rsidRPr="004665CB">
              <w:rPr>
                <w:rFonts w:ascii="Cambria" w:eastAsia="Calibri" w:hAnsi="Cambria" w:cs="Arial"/>
                <w:bCs/>
                <w:sz w:val="18"/>
                <w:szCs w:val="18"/>
                <w:lang w:eastAsia="zh-CN" w:bidi="ar"/>
              </w:rPr>
              <w:t>-</w:t>
            </w:r>
          </w:p>
        </w:tc>
      </w:tr>
      <w:tr w:rsidR="00DD3DB7" w:rsidRPr="004665CB" w:rsidTr="00C337DA">
        <w:tc>
          <w:tcPr>
            <w:tcW w:w="1000" w:type="dxa"/>
            <w:tcBorders>
              <w:top w:val="single" w:sz="8" w:space="0" w:color="4F81BD"/>
              <w:left w:val="single" w:sz="8" w:space="0" w:color="4F81BD"/>
              <w:bottom w:val="single" w:sz="8" w:space="0" w:color="4F81BD"/>
              <w:right w:val="nil"/>
            </w:tcBorders>
            <w:shd w:val="clear" w:color="auto" w:fill="auto"/>
            <w:vAlign w:val="center"/>
          </w:tcPr>
          <w:p w:rsidR="00DD3DB7" w:rsidRPr="004665CB" w:rsidRDefault="00DD3DB7" w:rsidP="00C337DA">
            <w:pPr>
              <w:spacing w:after="0"/>
              <w:jc w:val="center"/>
              <w:rPr>
                <w:b/>
                <w:bCs/>
              </w:rPr>
            </w:pPr>
            <w:r w:rsidRPr="004665CB">
              <w:rPr>
                <w:rFonts w:eastAsia="Calibri" w:cs="Arial"/>
                <w:b/>
                <w:noProof/>
                <w:color w:val="1D1B11"/>
                <w:lang w:eastAsia="de-DE"/>
              </w:rPr>
              <w:drawing>
                <wp:inline distT="0" distB="0" distL="114300" distR="114300" wp14:anchorId="7D03E5C1" wp14:editId="199227E2">
                  <wp:extent cx="502920" cy="502920"/>
                  <wp:effectExtent l="0" t="0" r="0" b="0"/>
                  <wp:docPr id="8" name="Bild 8" descr="Ätzend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Ätzend grau"/>
                          <pic:cNvPicPr>
                            <a:picLocks noChangeAspect="1"/>
                          </pic:cNvPicPr>
                        </pic:nvPicPr>
                        <pic:blipFill>
                          <a:blip r:embed="rId5" r:link="rId6"/>
                          <a:stretch>
                            <a:fillRect/>
                          </a:stretch>
                        </pic:blipFill>
                        <pic:spPr>
                          <a:xfrm>
                            <a:off x="0" y="0"/>
                            <a:ext cx="502920" cy="50292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DD3DB7" w:rsidRPr="004665CB" w:rsidRDefault="00DD3DB7" w:rsidP="00C337DA">
            <w:pPr>
              <w:spacing w:after="0"/>
              <w:jc w:val="center"/>
            </w:pPr>
            <w:r w:rsidRPr="004665CB">
              <w:rPr>
                <w:rFonts w:eastAsia="Calibri" w:cs="Arial"/>
                <w:noProof/>
                <w:color w:val="1D1B11"/>
                <w:lang w:eastAsia="de-DE"/>
              </w:rPr>
              <w:drawing>
                <wp:inline distT="0" distB="0" distL="114300" distR="114300" wp14:anchorId="1710CBDE" wp14:editId="7A69B10D">
                  <wp:extent cx="495300" cy="49530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16"/>
                          <pic:cNvPicPr>
                            <a:picLocks noChangeAspect="1"/>
                          </pic:cNvPicPr>
                        </pic:nvPicPr>
                        <pic:blipFill>
                          <a:blip r:embed="rId7" r:link="rId8"/>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DD3DB7" w:rsidRPr="004665CB" w:rsidRDefault="00DD3DB7" w:rsidP="00C337DA">
            <w:pPr>
              <w:spacing w:after="0"/>
              <w:jc w:val="center"/>
            </w:pPr>
            <w:r w:rsidRPr="004665CB">
              <w:rPr>
                <w:rFonts w:eastAsia="Calibri" w:cs="Arial"/>
                <w:noProof/>
                <w:color w:val="1D1B11"/>
                <w:lang w:eastAsia="de-DE"/>
              </w:rPr>
              <w:drawing>
                <wp:inline distT="0" distB="0" distL="114300" distR="114300" wp14:anchorId="43BA42C6" wp14:editId="5BA073EE">
                  <wp:extent cx="495300" cy="4953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pic:cNvPicPr>
                        </pic:nvPicPr>
                        <pic:blipFill>
                          <a:blip r:embed="rId9" r:link="rId10"/>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DD3DB7" w:rsidRPr="004665CB" w:rsidRDefault="00DD3DB7" w:rsidP="00C337DA">
            <w:pPr>
              <w:spacing w:after="0"/>
              <w:jc w:val="center"/>
            </w:pPr>
            <w:r w:rsidRPr="004665CB">
              <w:rPr>
                <w:rFonts w:eastAsia="Calibri" w:cs="Arial"/>
                <w:noProof/>
                <w:color w:val="1D1B11"/>
                <w:lang w:eastAsia="de-DE"/>
              </w:rPr>
              <w:drawing>
                <wp:inline distT="0" distB="0" distL="114300" distR="114300" wp14:anchorId="358C4EAC" wp14:editId="62B2F4D3">
                  <wp:extent cx="495300" cy="4953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pic:cNvPicPr>
                            <a:picLocks noChangeAspect="1"/>
                          </pic:cNvPicPr>
                        </pic:nvPicPr>
                        <pic:blipFill>
                          <a:blip r:embed="rId11" r:link="rId12"/>
                          <a:stretch>
                            <a:fillRect/>
                          </a:stretch>
                        </pic:blipFill>
                        <pic:spPr>
                          <a:xfrm>
                            <a:off x="0" y="0"/>
                            <a:ext cx="495300" cy="495300"/>
                          </a:xfrm>
                          <a:prstGeom prst="rect">
                            <a:avLst/>
                          </a:prstGeom>
                          <a:noFill/>
                          <a:ln w="9525">
                            <a:noFill/>
                            <a:miter/>
                          </a:ln>
                        </pic:spPr>
                      </pic:pic>
                    </a:graphicData>
                  </a:graphic>
                </wp:inline>
              </w:drawing>
            </w:r>
          </w:p>
        </w:tc>
        <w:tc>
          <w:tcPr>
            <w:tcW w:w="1160" w:type="dxa"/>
            <w:tcBorders>
              <w:top w:val="single" w:sz="8" w:space="0" w:color="4F81BD"/>
              <w:left w:val="nil"/>
              <w:bottom w:val="single" w:sz="8" w:space="0" w:color="4F81BD"/>
              <w:right w:val="nil"/>
            </w:tcBorders>
            <w:shd w:val="clear" w:color="auto" w:fill="auto"/>
            <w:vAlign w:val="center"/>
          </w:tcPr>
          <w:p w:rsidR="00DD3DB7" w:rsidRPr="004665CB" w:rsidRDefault="00DD3DB7" w:rsidP="00C337DA">
            <w:pPr>
              <w:spacing w:after="0"/>
              <w:jc w:val="center"/>
            </w:pPr>
            <w:r w:rsidRPr="004665CB">
              <w:rPr>
                <w:rFonts w:eastAsia="Calibri" w:cs="Arial"/>
                <w:noProof/>
                <w:color w:val="1D1B11"/>
                <w:lang w:eastAsia="de-DE"/>
              </w:rPr>
              <w:drawing>
                <wp:inline distT="0" distB="0" distL="114300" distR="114300" wp14:anchorId="0667226A" wp14:editId="3D9FF53B">
                  <wp:extent cx="495300" cy="495300"/>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 22"/>
                          <pic:cNvPicPr>
                            <a:picLocks noChangeAspect="1"/>
                          </pic:cNvPicPr>
                        </pic:nvPicPr>
                        <pic:blipFill>
                          <a:blip r:embed="rId13" r:link="rId14"/>
                          <a:stretch>
                            <a:fillRect/>
                          </a:stretch>
                        </pic:blipFill>
                        <pic:spPr>
                          <a:xfrm>
                            <a:off x="0" y="0"/>
                            <a:ext cx="495300" cy="495300"/>
                          </a:xfrm>
                          <a:prstGeom prst="rect">
                            <a:avLst/>
                          </a:prstGeom>
                          <a:noFill/>
                          <a:ln w="9525">
                            <a:noFill/>
                            <a:miter/>
                          </a:ln>
                        </pic:spPr>
                      </pic:pic>
                    </a:graphicData>
                  </a:graphic>
                </wp:inline>
              </w:drawing>
            </w:r>
          </w:p>
        </w:tc>
        <w:tc>
          <w:tcPr>
            <w:tcW w:w="980" w:type="dxa"/>
            <w:tcBorders>
              <w:top w:val="single" w:sz="8" w:space="0" w:color="4F81BD"/>
              <w:left w:val="nil"/>
              <w:bottom w:val="single" w:sz="8" w:space="0" w:color="4F81BD"/>
              <w:right w:val="nil"/>
            </w:tcBorders>
            <w:shd w:val="clear" w:color="auto" w:fill="auto"/>
            <w:vAlign w:val="center"/>
          </w:tcPr>
          <w:p w:rsidR="00DD3DB7" w:rsidRPr="004665CB" w:rsidRDefault="00DD3DB7" w:rsidP="00C337DA">
            <w:pPr>
              <w:spacing w:after="0"/>
              <w:jc w:val="center"/>
            </w:pPr>
            <w:r w:rsidRPr="004665CB">
              <w:rPr>
                <w:rFonts w:eastAsia="Calibri" w:cs="Arial"/>
                <w:noProof/>
                <w:color w:val="1D1B11"/>
                <w:lang w:eastAsia="de-DE"/>
              </w:rPr>
              <w:drawing>
                <wp:inline distT="0" distB="0" distL="114300" distR="114300" wp14:anchorId="3C8F9F2B" wp14:editId="6CD9FA14">
                  <wp:extent cx="495300" cy="4953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a:picLocks noChangeAspect="1"/>
                          </pic:cNvPicPr>
                        </pic:nvPicPr>
                        <pic:blipFill>
                          <a:blip r:embed="rId15" r:link="rId16"/>
                          <a:stretch>
                            <a:fillRect/>
                          </a:stretch>
                        </pic:blipFill>
                        <pic:spPr>
                          <a:xfrm>
                            <a:off x="0" y="0"/>
                            <a:ext cx="495300" cy="495300"/>
                          </a:xfrm>
                          <a:prstGeom prst="rect">
                            <a:avLst/>
                          </a:prstGeom>
                          <a:noFill/>
                          <a:ln w="9525">
                            <a:noFill/>
                            <a:miter/>
                          </a:ln>
                        </pic:spPr>
                      </pic:pic>
                    </a:graphicData>
                  </a:graphic>
                </wp:inline>
              </w:drawing>
            </w:r>
          </w:p>
        </w:tc>
        <w:tc>
          <w:tcPr>
            <w:tcW w:w="960" w:type="dxa"/>
            <w:tcBorders>
              <w:top w:val="single" w:sz="8" w:space="0" w:color="4F81BD"/>
              <w:left w:val="nil"/>
              <w:bottom w:val="single" w:sz="8" w:space="0" w:color="4F81BD"/>
              <w:right w:val="nil"/>
            </w:tcBorders>
            <w:shd w:val="clear" w:color="auto" w:fill="auto"/>
            <w:vAlign w:val="center"/>
          </w:tcPr>
          <w:p w:rsidR="00DD3DB7" w:rsidRPr="004665CB" w:rsidRDefault="00DD3DB7" w:rsidP="00C337DA">
            <w:pPr>
              <w:spacing w:after="0"/>
              <w:jc w:val="center"/>
            </w:pPr>
            <w:r w:rsidRPr="004665CB">
              <w:rPr>
                <w:rFonts w:eastAsia="Calibri" w:cs="Arial"/>
                <w:noProof/>
                <w:color w:val="1D1B11"/>
                <w:lang w:eastAsia="de-DE"/>
              </w:rPr>
              <w:drawing>
                <wp:inline distT="0" distB="0" distL="114300" distR="114300" wp14:anchorId="015BB9B8" wp14:editId="36F0836A">
                  <wp:extent cx="495300" cy="49530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21"/>
                          <pic:cNvPicPr>
                            <a:picLocks noChangeAspect="1"/>
                          </pic:cNvPicPr>
                        </pic:nvPicPr>
                        <pic:blipFill>
                          <a:blip r:embed="rId17" r:link="rId18"/>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DD3DB7" w:rsidRPr="004665CB" w:rsidRDefault="00DD3DB7" w:rsidP="00C337DA">
            <w:pPr>
              <w:spacing w:after="0"/>
              <w:jc w:val="center"/>
            </w:pPr>
            <w:r w:rsidRPr="004665CB">
              <w:rPr>
                <w:rFonts w:eastAsia="Calibri" w:cs="Arial"/>
                <w:noProof/>
                <w:color w:val="1D1B11"/>
                <w:lang w:eastAsia="de-DE"/>
              </w:rPr>
              <w:drawing>
                <wp:inline distT="0" distB="0" distL="114300" distR="114300" wp14:anchorId="43EE3C7F" wp14:editId="2593A1EA">
                  <wp:extent cx="502920" cy="502920"/>
                  <wp:effectExtent l="0" t="0" r="0" b="0"/>
                  <wp:docPr id="18" name="Grafik 88" descr="Reizend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88" descr="Reizend grau"/>
                          <pic:cNvPicPr>
                            <a:picLocks noChangeAspect="1"/>
                          </pic:cNvPicPr>
                        </pic:nvPicPr>
                        <pic:blipFill>
                          <a:blip r:embed="rId19" r:link="rId20"/>
                          <a:stretch>
                            <a:fillRect/>
                          </a:stretch>
                        </pic:blipFill>
                        <pic:spPr>
                          <a:xfrm>
                            <a:off x="0" y="0"/>
                            <a:ext cx="502920" cy="502920"/>
                          </a:xfrm>
                          <a:prstGeom prst="rect">
                            <a:avLst/>
                          </a:prstGeom>
                          <a:noFill/>
                          <a:ln w="9525">
                            <a:noFill/>
                            <a:miter/>
                          </a:ln>
                        </pic:spPr>
                      </pic:pic>
                    </a:graphicData>
                  </a:graphic>
                </wp:inline>
              </w:drawing>
            </w:r>
          </w:p>
        </w:tc>
        <w:tc>
          <w:tcPr>
            <w:tcW w:w="1135" w:type="dxa"/>
            <w:tcBorders>
              <w:top w:val="single" w:sz="8" w:space="0" w:color="4F81BD"/>
              <w:left w:val="nil"/>
              <w:bottom w:val="single" w:sz="8" w:space="0" w:color="4F81BD"/>
              <w:right w:val="single" w:sz="8" w:space="0" w:color="4F81BD"/>
            </w:tcBorders>
            <w:shd w:val="clear" w:color="auto" w:fill="auto"/>
            <w:vAlign w:val="center"/>
          </w:tcPr>
          <w:p w:rsidR="00DD3DB7" w:rsidRPr="004665CB" w:rsidRDefault="00DD3DB7" w:rsidP="00C337DA">
            <w:pPr>
              <w:spacing w:after="0"/>
              <w:jc w:val="center"/>
            </w:pPr>
            <w:r w:rsidRPr="004665CB">
              <w:rPr>
                <w:rFonts w:eastAsia="Calibri" w:cs="Arial"/>
                <w:noProof/>
                <w:color w:val="1D1B11"/>
                <w:lang w:eastAsia="de-DE"/>
              </w:rPr>
              <w:drawing>
                <wp:inline distT="0" distB="0" distL="114300" distR="114300" wp14:anchorId="2BB75651" wp14:editId="33771FC4">
                  <wp:extent cx="495300" cy="49530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 19"/>
                          <pic:cNvPicPr>
                            <a:picLocks noChangeAspect="1"/>
                          </pic:cNvPicPr>
                        </pic:nvPicPr>
                        <pic:blipFill>
                          <a:blip r:embed="rId21" r:link="rId22"/>
                          <a:stretch>
                            <a:fillRect/>
                          </a:stretch>
                        </pic:blipFill>
                        <pic:spPr>
                          <a:xfrm>
                            <a:off x="0" y="0"/>
                            <a:ext cx="495300" cy="495300"/>
                          </a:xfrm>
                          <a:prstGeom prst="rect">
                            <a:avLst/>
                          </a:prstGeom>
                          <a:noFill/>
                          <a:ln w="9525">
                            <a:noFill/>
                            <a:miter/>
                          </a:ln>
                        </pic:spPr>
                      </pic:pic>
                    </a:graphicData>
                  </a:graphic>
                </wp:inline>
              </w:drawing>
            </w:r>
          </w:p>
        </w:tc>
      </w:tr>
    </w:tbl>
    <w:p w:rsidR="00DD3DB7" w:rsidRPr="004665CB" w:rsidRDefault="00DD3DB7" w:rsidP="00DD3DB7">
      <w:pPr>
        <w:tabs>
          <w:tab w:val="left" w:pos="1702"/>
          <w:tab w:val="left" w:pos="1980"/>
        </w:tabs>
        <w:ind w:left="1980" w:hanging="1980"/>
      </w:pPr>
    </w:p>
    <w:p w:rsidR="00DD3DB7" w:rsidRPr="004665CB" w:rsidRDefault="00DD3DB7" w:rsidP="00DD3DB7">
      <w:pPr>
        <w:tabs>
          <w:tab w:val="left" w:pos="1702"/>
          <w:tab w:val="left" w:pos="1980"/>
        </w:tabs>
        <w:ind w:left="1980" w:hanging="1980"/>
      </w:pPr>
      <w:r w:rsidRPr="004665CB">
        <w:rPr>
          <w:rFonts w:eastAsia="Calibri" w:cs="Arial"/>
          <w:color w:val="1D1B11"/>
          <w:lang w:eastAsia="zh-CN" w:bidi="ar"/>
        </w:rPr>
        <w:t xml:space="preserve">Materialien: </w:t>
      </w:r>
      <w:r w:rsidRPr="004665CB">
        <w:rPr>
          <w:rFonts w:eastAsia="Calibri" w:cs="Arial"/>
          <w:color w:val="1D1B11"/>
          <w:lang w:eastAsia="zh-CN" w:bidi="ar"/>
        </w:rPr>
        <w:tab/>
      </w:r>
      <w:r w:rsidRPr="004665CB">
        <w:rPr>
          <w:rFonts w:eastAsia="Calibri" w:cs="Arial"/>
          <w:color w:val="1D1B11"/>
          <w:lang w:eastAsia="zh-CN" w:bidi="ar"/>
        </w:rPr>
        <w:tab/>
        <w:t xml:space="preserve"> Becherglas (100 mL), Uhrglas, Gasbrenner, Dreifuß, Spatel</w:t>
      </w:r>
    </w:p>
    <w:p w:rsidR="00DD3DB7" w:rsidRPr="004665CB" w:rsidRDefault="00DD3DB7" w:rsidP="00DD3DB7">
      <w:pPr>
        <w:tabs>
          <w:tab w:val="left" w:pos="1702"/>
          <w:tab w:val="left" w:pos="1980"/>
        </w:tabs>
        <w:ind w:left="1980" w:hanging="1980"/>
      </w:pPr>
      <w:r w:rsidRPr="004665CB">
        <w:rPr>
          <w:rFonts w:eastAsia="Calibri" w:cs="Arial"/>
          <w:color w:val="1D1B11"/>
          <w:lang w:eastAsia="zh-CN" w:bidi="ar"/>
        </w:rPr>
        <w:t>Chemikalien:</w:t>
      </w:r>
      <w:r w:rsidRPr="004665CB">
        <w:rPr>
          <w:rFonts w:eastAsia="Calibri" w:cs="Arial"/>
          <w:color w:val="1D1B11"/>
          <w:lang w:eastAsia="zh-CN" w:bidi="ar"/>
        </w:rPr>
        <w:tab/>
      </w:r>
      <w:r w:rsidRPr="004665CB">
        <w:rPr>
          <w:rFonts w:eastAsia="Calibri" w:cs="Arial"/>
          <w:color w:val="1D1B11"/>
          <w:lang w:eastAsia="zh-CN" w:bidi="ar"/>
        </w:rPr>
        <w:tab/>
        <w:t>Wasser, Kochsalz (NaCl)</w:t>
      </w:r>
    </w:p>
    <w:p w:rsidR="00DD3DB7" w:rsidRPr="004665CB" w:rsidRDefault="00DD3DB7" w:rsidP="00DD3DB7">
      <w:pPr>
        <w:tabs>
          <w:tab w:val="left" w:pos="1702"/>
          <w:tab w:val="left" w:pos="1980"/>
        </w:tabs>
        <w:ind w:left="1980" w:hanging="1980"/>
      </w:pPr>
      <w:r w:rsidRPr="004665CB">
        <w:rPr>
          <w:rFonts w:eastAsia="Calibri" w:cs="Arial"/>
          <w:color w:val="1D1B11"/>
          <w:lang w:eastAsia="zh-CN" w:bidi="ar"/>
        </w:rPr>
        <w:t xml:space="preserve">Durchführung: </w:t>
      </w:r>
      <w:r w:rsidRPr="004665CB">
        <w:rPr>
          <w:rFonts w:eastAsia="Calibri" w:cs="Arial"/>
          <w:color w:val="1D1B11"/>
          <w:lang w:eastAsia="zh-CN" w:bidi="ar"/>
        </w:rPr>
        <w:tab/>
      </w:r>
      <w:r w:rsidRPr="004665CB">
        <w:rPr>
          <w:rFonts w:eastAsia="Calibri" w:cs="Arial"/>
          <w:color w:val="1D1B11"/>
          <w:lang w:eastAsia="zh-CN" w:bidi="ar"/>
        </w:rPr>
        <w:tab/>
        <w:t xml:space="preserve">Vor den Augen der </w:t>
      </w:r>
      <w:proofErr w:type="spellStart"/>
      <w:r w:rsidRPr="004665CB">
        <w:rPr>
          <w:rFonts w:eastAsia="Calibri" w:cs="Arial"/>
          <w:color w:val="1D1B11"/>
          <w:lang w:eastAsia="zh-CN" w:bidi="ar"/>
        </w:rPr>
        <w:t>SuS</w:t>
      </w:r>
      <w:proofErr w:type="spellEnd"/>
      <w:r w:rsidRPr="004665CB">
        <w:rPr>
          <w:rFonts w:eastAsia="Calibri" w:cs="Arial"/>
          <w:color w:val="1D1B11"/>
          <w:lang w:eastAsia="zh-CN" w:bidi="ar"/>
        </w:rPr>
        <w:t xml:space="preserve"> wird eine Spatelspitze Kochsalz in ein Becherglas (100 mL) gegeben. Anschließend wird aus einer Spritzflasche Wasser hinzugegeben, bis kein Feststoff mehr im Glas zu sehen ist. Dann wird das Glas mit einem Uhrglas teilweise abgedeckt und mithilfe eines Gasbrenners zum Sieden gebracht, bis fast alles Wasser verdampft ist. Der Versuch kann als Vergleichsexperiment mit reinem destilliertem Wasser wiederholt werden.</w:t>
      </w:r>
    </w:p>
    <w:p w:rsidR="00DD3DB7" w:rsidRPr="004665CB" w:rsidRDefault="00DD3DB7" w:rsidP="00DD3DB7">
      <w:pPr>
        <w:tabs>
          <w:tab w:val="left" w:pos="1702"/>
          <w:tab w:val="left" w:pos="1980"/>
        </w:tabs>
        <w:ind w:left="1980" w:hanging="1980"/>
      </w:pPr>
      <w:r w:rsidRPr="004665CB">
        <w:rPr>
          <w:rFonts w:eastAsia="Calibri" w:cs="Arial"/>
          <w:color w:val="1D1B11"/>
          <w:lang w:eastAsia="zh-CN" w:bidi="ar"/>
        </w:rPr>
        <w:t>Beobachtung:</w:t>
      </w:r>
      <w:r w:rsidRPr="004665CB">
        <w:rPr>
          <w:rFonts w:eastAsia="Calibri" w:cs="Arial"/>
          <w:color w:val="1D1B11"/>
          <w:lang w:eastAsia="zh-CN" w:bidi="ar"/>
        </w:rPr>
        <w:tab/>
      </w:r>
      <w:r w:rsidRPr="004665CB">
        <w:rPr>
          <w:rFonts w:eastAsia="Calibri" w:cs="Arial"/>
          <w:color w:val="1D1B11"/>
          <w:lang w:eastAsia="zh-CN" w:bidi="ar"/>
        </w:rPr>
        <w:tab/>
      </w:r>
      <w:r w:rsidRPr="004665CB">
        <w:rPr>
          <w:rFonts w:eastAsia="Calibri" w:cs="Arial"/>
          <w:color w:val="1D1B11"/>
          <w:lang w:eastAsia="zh-CN" w:bidi="ar"/>
        </w:rPr>
        <w:tab/>
        <w:t>Sobald fast das gesamte Wasser verdampft ist, bleibt ein weißer Feststoff im Becherglas zurück. Dampf strömt aus der Öffnung zwischen Uhrglas und Becherglas aus und eine farblose Flüssigkeit kondensiert an der Unterseite des Uhrglases. Im Vergleichsexperiment mit destilliertem Wasser kommt es ebenfalls zur Dampfbildung und Kondensation, allerdings bleibt kein Feststoff im Becherglas zurück.</w:t>
      </w:r>
    </w:p>
    <w:p w:rsidR="00DD3DB7" w:rsidRPr="004665CB" w:rsidRDefault="00DD3DB7" w:rsidP="00DD3DB7">
      <w:pPr>
        <w:keepNext/>
        <w:tabs>
          <w:tab w:val="left" w:pos="1702"/>
          <w:tab w:val="left" w:pos="1980"/>
        </w:tabs>
        <w:ind w:left="1980" w:hanging="1980"/>
        <w:jc w:val="center"/>
      </w:pPr>
      <w:r w:rsidRPr="004665CB">
        <w:rPr>
          <w:rFonts w:eastAsia="Calibri" w:cs="Arial"/>
          <w:noProof/>
          <w:color w:val="1D1B11"/>
          <w:lang w:eastAsia="de-DE"/>
        </w:rPr>
        <w:lastRenderedPageBreak/>
        <w:drawing>
          <wp:inline distT="0" distB="0" distL="114300" distR="114300" wp14:anchorId="7C0A80D6" wp14:editId="39FD7B64">
            <wp:extent cx="2499360" cy="3238500"/>
            <wp:effectExtent l="0" t="0" r="0" b="0"/>
            <wp:docPr id="14" name="Bild 88" descr="20160720_15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88" descr="20160720_150941"/>
                    <pic:cNvPicPr>
                      <a:picLocks noChangeAspect="1"/>
                    </pic:cNvPicPr>
                  </pic:nvPicPr>
                  <pic:blipFill>
                    <a:blip r:embed="rId23" r:link="rId24"/>
                    <a:srcRect l="32771" r="23709"/>
                    <a:stretch>
                      <a:fillRect/>
                    </a:stretch>
                  </pic:blipFill>
                  <pic:spPr>
                    <a:xfrm>
                      <a:off x="0" y="0"/>
                      <a:ext cx="2499360" cy="3238500"/>
                    </a:xfrm>
                    <a:prstGeom prst="rect">
                      <a:avLst/>
                    </a:prstGeom>
                    <a:noFill/>
                    <a:ln w="9525">
                      <a:noFill/>
                      <a:miter/>
                    </a:ln>
                  </pic:spPr>
                </pic:pic>
              </a:graphicData>
            </a:graphic>
          </wp:inline>
        </w:drawing>
      </w:r>
    </w:p>
    <w:p w:rsidR="00DD3DB7" w:rsidRPr="004665CB" w:rsidRDefault="00DD3DB7" w:rsidP="00DD3DB7">
      <w:pPr>
        <w:pStyle w:val="StandardWeb"/>
        <w:spacing w:before="0" w:beforeAutospacing="0" w:after="200" w:afterAutospacing="0"/>
        <w:jc w:val="center"/>
      </w:pPr>
      <w:bookmarkStart w:id="4" w:name="_Ref457302172"/>
      <w:r w:rsidRPr="004665CB">
        <w:rPr>
          <w:rFonts w:ascii="Cambria" w:eastAsia="Calibri" w:hAnsi="Cambria" w:cs="Arial"/>
          <w:bCs/>
          <w:sz w:val="18"/>
          <w:szCs w:val="18"/>
          <w:lang w:eastAsia="zh-CN" w:bidi="ar"/>
        </w:rPr>
        <w:t xml:space="preserve">Abbildung </w:t>
      </w:r>
      <w:r w:rsidRPr="004665CB">
        <w:rPr>
          <w:rFonts w:ascii="Cambria" w:eastAsia="Calibri" w:hAnsi="Cambria" w:cs="Arial"/>
          <w:bCs/>
          <w:sz w:val="18"/>
          <w:szCs w:val="18"/>
          <w:lang w:eastAsia="zh-CN" w:bidi="ar"/>
        </w:rPr>
        <w:fldChar w:fldCharType="begin"/>
      </w:r>
      <w:r w:rsidRPr="004665CB">
        <w:rPr>
          <w:rFonts w:ascii="Cambria" w:eastAsia="Calibri" w:hAnsi="Cambria" w:cs="Arial"/>
          <w:bCs/>
          <w:sz w:val="18"/>
          <w:szCs w:val="18"/>
          <w:lang w:eastAsia="zh-CN" w:bidi="ar"/>
        </w:rPr>
        <w:instrText xml:space="preserve"> SEQ Abbildung \* ARABIC </w:instrText>
      </w:r>
      <w:r w:rsidRPr="004665CB">
        <w:rPr>
          <w:rFonts w:ascii="Cambria" w:eastAsia="Calibri" w:hAnsi="Cambria" w:cs="Arial"/>
          <w:bCs/>
          <w:sz w:val="18"/>
          <w:szCs w:val="18"/>
          <w:lang w:eastAsia="zh-CN" w:bidi="ar"/>
        </w:rPr>
        <w:fldChar w:fldCharType="separate"/>
      </w:r>
      <w:r w:rsidR="00F929F1">
        <w:rPr>
          <w:rFonts w:ascii="Cambria" w:eastAsia="Calibri" w:hAnsi="Cambria" w:cs="Arial"/>
          <w:bCs/>
          <w:noProof/>
          <w:sz w:val="18"/>
          <w:szCs w:val="18"/>
          <w:lang w:eastAsia="zh-CN" w:bidi="ar"/>
        </w:rPr>
        <w:t>1</w:t>
      </w:r>
      <w:r w:rsidRPr="004665CB">
        <w:rPr>
          <w:rFonts w:ascii="Cambria" w:eastAsia="Calibri" w:hAnsi="Cambria" w:cs="Arial"/>
          <w:bCs/>
          <w:sz w:val="18"/>
          <w:szCs w:val="18"/>
          <w:lang w:eastAsia="zh-CN" w:bidi="ar"/>
        </w:rPr>
        <w:fldChar w:fldCharType="end"/>
      </w:r>
      <w:bookmarkEnd w:id="4"/>
      <w:r w:rsidRPr="004665CB">
        <w:rPr>
          <w:rFonts w:ascii="Cambria" w:eastAsia="Calibri" w:hAnsi="Cambria" w:cs="Arial"/>
          <w:bCs/>
          <w:sz w:val="18"/>
          <w:szCs w:val="18"/>
          <w:lang w:eastAsia="zh-CN" w:bidi="ar"/>
        </w:rPr>
        <w:t>: In der fast vollständig eingedampften Kochsalzlösung bleibt nach verdampfen des Wassers das zuvor gelöste Kochsalz als weißer Feststoff zurück.</w:t>
      </w:r>
    </w:p>
    <w:p w:rsidR="00DD3DB7" w:rsidRPr="004665CB" w:rsidRDefault="00DD3DB7" w:rsidP="00DD3DB7">
      <w:pPr>
        <w:tabs>
          <w:tab w:val="left" w:pos="1702"/>
          <w:tab w:val="left" w:pos="1980"/>
        </w:tabs>
        <w:ind w:left="2120" w:hanging="2120"/>
      </w:pPr>
      <w:r w:rsidRPr="004665CB">
        <w:rPr>
          <w:rFonts w:eastAsia="Calibri" w:cs="Arial"/>
          <w:color w:val="1D1B11"/>
          <w:lang w:eastAsia="zh-CN" w:bidi="ar"/>
        </w:rPr>
        <w:t>Deutung:</w:t>
      </w:r>
      <w:r w:rsidRPr="004665CB">
        <w:rPr>
          <w:rFonts w:eastAsia="Calibri" w:cs="Arial"/>
          <w:color w:val="1D1B11"/>
          <w:lang w:eastAsia="zh-CN" w:bidi="ar"/>
        </w:rPr>
        <w:tab/>
      </w:r>
      <w:r w:rsidRPr="004665CB">
        <w:rPr>
          <w:rFonts w:eastAsia="Calibri" w:cs="Arial"/>
          <w:color w:val="1D1B11"/>
          <w:lang w:eastAsia="zh-CN" w:bidi="ar"/>
        </w:rPr>
        <w:tab/>
      </w:r>
      <w:r w:rsidRPr="004665CB">
        <w:rPr>
          <w:rFonts w:eastAsia="Calibri" w:cs="Arial"/>
          <w:color w:val="1D1B11"/>
          <w:lang w:eastAsia="zh-CN" w:bidi="ar"/>
        </w:rPr>
        <w:tab/>
        <w:t>Das Kochsalz ist nicht „verschwunden“, als es ins Wasser gegeben wurde. Es hat sich gelöst, sodass sich in der farblosen Lösung neben Wasserteilchen auch das gelöste Kochsalz befand. Durch Verdampfen des Wassers konnten Salz und Wasser wieder getrennt werden, da Wasser einen viel niedrigeren Siedepunkt als Kochsalz hat.</w:t>
      </w:r>
    </w:p>
    <w:p w:rsidR="00DD3DB7" w:rsidRPr="004665CB" w:rsidRDefault="00DD3DB7" w:rsidP="00DD3DB7">
      <w:pPr>
        <w:spacing w:line="276" w:lineRule="auto"/>
        <w:jc w:val="left"/>
      </w:pPr>
      <w:r w:rsidRPr="004665CB">
        <w:rPr>
          <w:rFonts w:eastAsia="Calibri" w:cs="Arial"/>
          <w:color w:val="1D1B11"/>
          <w:lang w:eastAsia="zh-CN" w:bidi="ar"/>
        </w:rPr>
        <w:t>Entsorgung:</w:t>
      </w:r>
      <w:r w:rsidRPr="004665CB">
        <w:rPr>
          <w:rFonts w:eastAsia="Calibri" w:cs="Arial"/>
          <w:color w:val="1D1B11"/>
          <w:lang w:eastAsia="zh-CN" w:bidi="ar"/>
        </w:rPr>
        <w:tab/>
        <w:t xml:space="preserve">           </w:t>
      </w:r>
      <w:r w:rsidRPr="004665CB">
        <w:rPr>
          <w:rFonts w:eastAsia="Calibri" w:cs="Arial"/>
          <w:color w:val="1D1B11"/>
          <w:lang w:eastAsia="zh-CN" w:bidi="ar"/>
        </w:rPr>
        <w:tab/>
        <w:t>Die Entsorgung erfolgt über den Abfluss.</w:t>
      </w:r>
    </w:p>
    <w:p w:rsidR="00DD3DB7" w:rsidRPr="004665CB" w:rsidRDefault="00DD3DB7" w:rsidP="00DD3DB7">
      <w:pPr>
        <w:spacing w:line="276" w:lineRule="auto"/>
        <w:ind w:left="2120" w:hanging="2120"/>
        <w:jc w:val="left"/>
        <w:rPr>
          <w:color w:val="auto"/>
        </w:rPr>
      </w:pPr>
      <w:r w:rsidRPr="004665CB">
        <w:rPr>
          <w:rFonts w:eastAsia="Calibri" w:cs="Arial"/>
          <w:color w:val="1D1B11"/>
          <w:lang w:eastAsia="zh-CN" w:bidi="ar"/>
        </w:rPr>
        <w:t>Literatur:</w:t>
      </w:r>
      <w:r w:rsidRPr="004665CB">
        <w:rPr>
          <w:rFonts w:eastAsia="Calibri" w:cs="Arial"/>
          <w:color w:val="1D1B11"/>
          <w:lang w:eastAsia="zh-CN" w:bidi="ar"/>
        </w:rPr>
        <w:tab/>
        <w:t xml:space="preserve">B. Lippold, </w:t>
      </w:r>
      <w:hyperlink r:id="rId25" w:history="1">
        <w:r w:rsidRPr="004665CB">
          <w:rPr>
            <w:rStyle w:val="Hyperlink"/>
          </w:rPr>
          <w:t>www.chemie.de/lexikon/Abdampfen.html</w:t>
        </w:r>
      </w:hyperlink>
      <w:r w:rsidRPr="004665CB">
        <w:rPr>
          <w:rFonts w:eastAsia="Calibri" w:cs="Arial"/>
          <w:color w:val="auto"/>
          <w:lang w:eastAsia="zh-CN" w:bidi="ar"/>
        </w:rPr>
        <w:t>, zuletzt abgerufen am 21.07.2016.</w:t>
      </w:r>
    </w:p>
    <w:p w:rsidR="00DD3DB7" w:rsidRPr="004665CB" w:rsidRDefault="00DD3DB7" w:rsidP="00DD3DB7">
      <w:pPr>
        <w:spacing w:line="276" w:lineRule="auto"/>
        <w:ind w:left="2120" w:hanging="2120"/>
        <w:jc w:val="left"/>
        <w:rPr>
          <w:b/>
          <w:color w:val="auto"/>
        </w:rPr>
      </w:pPr>
      <w:r w:rsidRPr="004665CB">
        <w:rPr>
          <w:rFonts w:eastAsia="Calibri" w:cs="Arial"/>
          <w:color w:val="auto"/>
          <w:lang w:eastAsia="zh-CN" w:bidi="ar"/>
        </w:rPr>
        <w:tab/>
        <w:t xml:space="preserve">G. Lück: </w:t>
      </w:r>
      <w:r w:rsidRPr="004665CB">
        <w:rPr>
          <w:rFonts w:eastAsia="Calibri" w:cs="Arial"/>
          <w:i/>
          <w:color w:val="auto"/>
          <w:lang w:eastAsia="zh-CN" w:bidi="ar"/>
        </w:rPr>
        <w:t>Leichte Experimente für Eltern und Kinder</w:t>
      </w:r>
      <w:r w:rsidRPr="004665CB">
        <w:rPr>
          <w:rFonts w:eastAsia="Calibri" w:cs="Arial"/>
          <w:color w:val="auto"/>
          <w:lang w:eastAsia="zh-CN" w:bidi="ar"/>
        </w:rPr>
        <w:t xml:space="preserve">, Überarbeitete Neuauflage, Herder Verlag, S. 58 ff., </w:t>
      </w:r>
      <w:r w:rsidRPr="004665CB">
        <w:rPr>
          <w:rFonts w:eastAsia="Calibri" w:cs="Arial"/>
          <w:b/>
          <w:color w:val="auto"/>
          <w:lang w:eastAsia="zh-CN" w:bidi="ar"/>
        </w:rPr>
        <w:t>2008</w:t>
      </w:r>
      <w:r w:rsidRPr="004665CB">
        <w:rPr>
          <w:rFonts w:eastAsia="Calibri" w:cs="Arial"/>
          <w:color w:val="auto"/>
          <w:lang w:eastAsia="zh-CN" w:bidi="ar"/>
        </w:rPr>
        <w:t>.</w:t>
      </w:r>
    </w:p>
    <w:p w:rsidR="00DD3DB7" w:rsidRPr="004665CB" w:rsidRDefault="00DD3DB7" w:rsidP="00DD3DB7">
      <w:pPr>
        <w:tabs>
          <w:tab w:val="left" w:pos="1702"/>
          <w:tab w:val="left" w:pos="1980"/>
        </w:tabs>
        <w:ind w:left="1980" w:hanging="1980"/>
      </w:pPr>
    </w:p>
    <w:p w:rsidR="00F91CC3" w:rsidRDefault="00D94ACE">
      <w:r w:rsidRPr="004665CB">
        <w:rPr>
          <w:rFonts w:eastAsia="Calibri" w:cs="Arial"/>
          <w:noProof/>
          <w:color w:val="1D1B11"/>
          <w:lang w:eastAsia="de-DE"/>
        </w:rPr>
        <mc:AlternateContent>
          <mc:Choice Requires="wps">
            <w:drawing>
              <wp:inline distT="0" distB="0" distL="114300" distR="114300" wp14:anchorId="306EAC14" wp14:editId="20CC399C">
                <wp:extent cx="5760720" cy="2859437"/>
                <wp:effectExtent l="0" t="0" r="11430" b="17145"/>
                <wp:docPr id="50" name="Text Box 131"/>
                <wp:cNvGraphicFramePr/>
                <a:graphic xmlns:a="http://schemas.openxmlformats.org/drawingml/2006/main">
                  <a:graphicData uri="http://schemas.microsoft.com/office/word/2010/wordprocessingShape">
                    <wps:wsp>
                      <wps:cNvSpPr txBox="1"/>
                      <wps:spPr>
                        <a:xfrm>
                          <a:off x="0" y="0"/>
                          <a:ext cx="5760720" cy="2859437"/>
                        </a:xfrm>
                        <a:prstGeom prst="rect">
                          <a:avLst/>
                        </a:prstGeom>
                        <a:solidFill>
                          <a:srgbClr val="FFFFFF"/>
                        </a:solidFill>
                        <a:ln w="12700" cap="flat" cmpd="sng">
                          <a:solidFill>
                            <a:srgbClr val="C0504D"/>
                          </a:solidFill>
                          <a:prstDash val="dash"/>
                          <a:miter/>
                          <a:headEnd type="none" w="med" len="med"/>
                          <a:tailEnd type="none" w="med" len="med"/>
                        </a:ln>
                      </wps:spPr>
                      <wps:txbx>
                        <w:txbxContent>
                          <w:p w:rsidR="00D94ACE" w:rsidRPr="004665CB" w:rsidRDefault="00D94ACE" w:rsidP="00D94ACE">
                            <w:pPr>
                              <w:rPr>
                                <w:color w:val="auto"/>
                              </w:rPr>
                            </w:pPr>
                            <w:r w:rsidRPr="004665CB">
                              <w:rPr>
                                <w:rFonts w:eastAsia="Calibri" w:cs="Arial"/>
                                <w:b/>
                                <w:color w:val="auto"/>
                                <w:lang w:eastAsia="zh-CN" w:bidi="ar"/>
                              </w:rPr>
                              <w:t xml:space="preserve">Unterrichtsanschlüsse: </w:t>
                            </w:r>
                            <w:r w:rsidRPr="004665CB">
                              <w:rPr>
                                <w:rFonts w:eastAsia="Calibri" w:cs="Arial"/>
                                <w:color w:val="auto"/>
                                <w:lang w:eastAsia="zh-CN" w:bidi="ar"/>
                              </w:rPr>
                              <w:t>Anschließend an diesen Versuch können weitere Versuche, die auf Löslichkeit beruhen, durchgeführt werden – etwa, wie Löslichkeit verschiedener Stoffe von der Temperatur des Lösemittels abhängt. Auch kann bereits darauf hingeführt werden, wie das Lösen von Stoffen auf der Teilchenebene vereinfacht abläuft.</w:t>
                            </w:r>
                          </w:p>
                          <w:p w:rsidR="00D94ACE" w:rsidRPr="004665CB" w:rsidRDefault="00D94ACE" w:rsidP="00D94ACE">
                            <w:pPr>
                              <w:rPr>
                                <w:color w:val="auto"/>
                              </w:rPr>
                            </w:pPr>
                            <w:r w:rsidRPr="004665CB">
                              <w:rPr>
                                <w:rFonts w:eastAsia="Calibri" w:cs="Arial"/>
                                <w:color w:val="auto"/>
                                <w:lang w:eastAsia="zh-CN" w:bidi="ar"/>
                              </w:rPr>
                              <w:t xml:space="preserve">Hauptgrund für die Deklaration dieses Versuches als Lehrerversuch ist die nicht ganz triviale Handhabung der heißen Glasgeräte bei der Durchführung. Um den beim Eindampfen zurückbleibenden Feststoff zudem in Abbildung 1 besser sichtbar zu machen, wurde hier statt einer Keramikschale ein Becherglas zum Eindampfen verwendet. Damit die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die allgemeine Funktion solcher Abdampfschalen lernen, sollte in der Schule auch eine solche verwendet werden. Im E</w:t>
                            </w:r>
                            <w:r>
                              <w:rPr>
                                <w:rFonts w:eastAsia="Calibri" w:cs="Arial"/>
                                <w:color w:val="auto"/>
                                <w:lang w:eastAsia="zh-CN" w:bidi="ar"/>
                              </w:rPr>
                              <w:t>xperimentieren geübte Schüler kö</w:t>
                            </w:r>
                            <w:r w:rsidRPr="004665CB">
                              <w:rPr>
                                <w:rFonts w:eastAsia="Calibri" w:cs="Arial"/>
                                <w:color w:val="auto"/>
                                <w:lang w:eastAsia="zh-CN" w:bidi="ar"/>
                              </w:rPr>
                              <w:t>nn</w:t>
                            </w:r>
                            <w:r>
                              <w:rPr>
                                <w:rFonts w:eastAsia="Calibri" w:cs="Arial"/>
                                <w:color w:val="auto"/>
                                <w:lang w:eastAsia="zh-CN" w:bidi="ar"/>
                              </w:rPr>
                              <w:t>en</w:t>
                            </w:r>
                            <w:r w:rsidRPr="004665CB">
                              <w:rPr>
                                <w:rFonts w:eastAsia="Calibri" w:cs="Arial"/>
                                <w:color w:val="auto"/>
                                <w:lang w:eastAsia="zh-CN" w:bidi="ar"/>
                              </w:rPr>
                              <w:t xml:space="preserve"> diese</w:t>
                            </w:r>
                            <w:r>
                              <w:rPr>
                                <w:rFonts w:eastAsia="Calibri" w:cs="Arial"/>
                                <w:color w:val="auto"/>
                                <w:lang w:eastAsia="zh-CN" w:bidi="ar"/>
                              </w:rPr>
                              <w:t>n</w:t>
                            </w:r>
                            <w:r w:rsidRPr="004665CB">
                              <w:rPr>
                                <w:rFonts w:eastAsia="Calibri" w:cs="Arial"/>
                                <w:color w:val="auto"/>
                                <w:lang w:eastAsia="zh-CN" w:bidi="ar"/>
                              </w:rPr>
                              <w:t xml:space="preserve"> Versuch auch in Gruppenarbeit durchführen, dann allerdings ohne das Uhrglas.</w:t>
                            </w:r>
                          </w:p>
                        </w:txbxContent>
                      </wps:txbx>
                      <wps:bodyPr vert="horz" wrap="square" anchor="t" upright="1"/>
                    </wps:wsp>
                  </a:graphicData>
                </a:graphic>
              </wp:inline>
            </w:drawing>
          </mc:Choice>
          <mc:Fallback>
            <w:pict>
              <v:shape w14:anchorId="306EAC14" id="Text Box 131" o:spid="_x0000_s1027" type="#_x0000_t202" style="width:453.6pt;height:2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" strokecolor="#c0504d" strokeweight="1pt">
                <v:stroke dashstyle="dash"/>
                <v:textbox>
                  <w:txbxContent>
                    <w:p w:rsidR="00D94ACE" w:rsidRPr="004665CB" w:rsidRDefault="00D94ACE" w:rsidP="00D94ACE">
                      <w:pPr>
                        <w:rPr>
                          <w:color w:val="auto"/>
                        </w:rPr>
                      </w:pPr>
                      <w:r w:rsidRPr="004665CB">
                        <w:rPr>
                          <w:rFonts w:eastAsia="Calibri" w:cs="Arial"/>
                          <w:b/>
                          <w:color w:val="auto"/>
                          <w:lang w:eastAsia="zh-CN" w:bidi="ar"/>
                        </w:rPr>
                        <w:t xml:space="preserve">Unterrichtsanschlüsse: </w:t>
                      </w:r>
                      <w:r w:rsidRPr="004665CB">
                        <w:rPr>
                          <w:rFonts w:eastAsia="Calibri" w:cs="Arial"/>
                          <w:color w:val="auto"/>
                          <w:lang w:eastAsia="zh-CN" w:bidi="ar"/>
                        </w:rPr>
                        <w:t>Anschließend an diesen Versuch können weitere Versuche, die auf Löslichkeit beruhen, durchgeführt werden – etwa, wie Löslichkeit verschiedener Stoffe von der Temperatur des Lösemittels abhängt. Auch kann bereits darauf hingeführt werden, wie das Lösen von Stoffen auf der Teilchenebene vereinfacht abläuft.</w:t>
                      </w:r>
                    </w:p>
                    <w:p w:rsidR="00D94ACE" w:rsidRPr="004665CB" w:rsidRDefault="00D94ACE" w:rsidP="00D94ACE">
                      <w:pPr>
                        <w:rPr>
                          <w:color w:val="auto"/>
                        </w:rPr>
                      </w:pPr>
                      <w:r w:rsidRPr="004665CB">
                        <w:rPr>
                          <w:rFonts w:eastAsia="Calibri" w:cs="Arial"/>
                          <w:color w:val="auto"/>
                          <w:lang w:eastAsia="zh-CN" w:bidi="ar"/>
                        </w:rPr>
                        <w:t xml:space="preserve">Hauptgrund für die Deklaration dieses Versuches als Lehrerversuch ist die nicht ganz triviale Handhabung der heißen Glasgeräte bei der Durchführung. Um den beim Eindampfen zurückbleibenden Feststoff zudem in Abbildung 1 besser sichtbar zu machen, wurde hier statt einer Keramikschale ein Becherglas zum Eindampfen verwendet. Damit die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die allgemeine Funktion solcher Abdampfschalen lernen, sollte in der Schule auch eine solche verwendet werden. Im E</w:t>
                      </w:r>
                      <w:r>
                        <w:rPr>
                          <w:rFonts w:eastAsia="Calibri" w:cs="Arial"/>
                          <w:color w:val="auto"/>
                          <w:lang w:eastAsia="zh-CN" w:bidi="ar"/>
                        </w:rPr>
                        <w:t>xperimentieren geübte Schüler kö</w:t>
                      </w:r>
                      <w:r w:rsidRPr="004665CB">
                        <w:rPr>
                          <w:rFonts w:eastAsia="Calibri" w:cs="Arial"/>
                          <w:color w:val="auto"/>
                          <w:lang w:eastAsia="zh-CN" w:bidi="ar"/>
                        </w:rPr>
                        <w:t>nn</w:t>
                      </w:r>
                      <w:r>
                        <w:rPr>
                          <w:rFonts w:eastAsia="Calibri" w:cs="Arial"/>
                          <w:color w:val="auto"/>
                          <w:lang w:eastAsia="zh-CN" w:bidi="ar"/>
                        </w:rPr>
                        <w:t>en</w:t>
                      </w:r>
                      <w:r w:rsidRPr="004665CB">
                        <w:rPr>
                          <w:rFonts w:eastAsia="Calibri" w:cs="Arial"/>
                          <w:color w:val="auto"/>
                          <w:lang w:eastAsia="zh-CN" w:bidi="ar"/>
                        </w:rPr>
                        <w:t xml:space="preserve"> diese</w:t>
                      </w:r>
                      <w:r>
                        <w:rPr>
                          <w:rFonts w:eastAsia="Calibri" w:cs="Arial"/>
                          <w:color w:val="auto"/>
                          <w:lang w:eastAsia="zh-CN" w:bidi="ar"/>
                        </w:rPr>
                        <w:t>n</w:t>
                      </w:r>
                      <w:r w:rsidRPr="004665CB">
                        <w:rPr>
                          <w:rFonts w:eastAsia="Calibri" w:cs="Arial"/>
                          <w:color w:val="auto"/>
                          <w:lang w:eastAsia="zh-CN" w:bidi="ar"/>
                        </w:rPr>
                        <w:t xml:space="preserve"> Versuch auch in Gruppenarbeit durchführen, dann allerdings ohne das Uhrglas.</w:t>
                      </w:r>
                    </w:p>
                  </w:txbxContent>
                </v:textbox>
                <w10:anchorlock/>
              </v:shape>
            </w:pict>
          </mc:Fallback>
        </mc:AlternateContent>
      </w:r>
    </w:p>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tentative="1">
      <w:start w:val="1"/>
      <w:numFmt w:val="decimal"/>
      <w:lvlText w:val="%1"/>
      <w:lvlJc w:val="left"/>
      <w:pPr>
        <w:ind w:left="432" w:hanging="432"/>
      </w:pPr>
      <w:rPr>
        <w:rFonts w:hint="default"/>
      </w:rPr>
    </w:lvl>
    <w:lvl w:ilvl="1" w:tentative="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7974C92"/>
    <w:multiLevelType w:val="multilevel"/>
    <w:tmpl w:val="57974C92"/>
    <w:lvl w:ilvl="0">
      <w:start w:val="1"/>
      <w:numFmt w:val="decimal"/>
      <w:lvlText w:val="%1"/>
      <w:lvlJc w:val="left"/>
      <w:pPr>
        <w:ind w:left="700" w:hanging="420"/>
      </w:pPr>
    </w:lvl>
    <w:lvl w:ilvl="1">
      <w:start w:val="1"/>
      <w:numFmt w:val="decimal"/>
      <w:lvlText w:val="%1.%2"/>
      <w:lvlJc w:val="left"/>
      <w:pPr>
        <w:ind w:left="560" w:hanging="560"/>
      </w:pPr>
      <w:rPr>
        <w:lang w:val="de"/>
      </w:rPr>
    </w:lvl>
    <w:lvl w:ilvl="2" w:tentative="1">
      <w:start w:val="1"/>
      <w:numFmt w:val="decimal"/>
      <w:lvlText w:val="%1.%2.%3"/>
      <w:lvlJc w:val="left"/>
      <w:pPr>
        <w:ind w:left="720" w:hanging="720"/>
      </w:pPr>
    </w:lvl>
    <w:lvl w:ilvl="3" w:tentative="1">
      <w:start w:val="1"/>
      <w:numFmt w:val="decimal"/>
      <w:lvlText w:val="%1.%2.%3.%4"/>
      <w:lvlJc w:val="left"/>
      <w:pPr>
        <w:ind w:left="860" w:hanging="860"/>
      </w:pPr>
    </w:lvl>
    <w:lvl w:ilvl="4" w:tentative="1">
      <w:start w:val="1"/>
      <w:numFmt w:val="decimal"/>
      <w:lvlText w:val="%1.%2.%3.%4.%5"/>
      <w:lvlJc w:val="left"/>
      <w:pPr>
        <w:ind w:left="1000" w:hanging="1000"/>
      </w:pPr>
    </w:lvl>
    <w:lvl w:ilvl="5" w:tentative="1">
      <w:start w:val="1"/>
      <w:numFmt w:val="decimal"/>
      <w:lvlText w:val="%1.%2.%3.%4.%5.%6"/>
      <w:lvlJc w:val="left"/>
      <w:pPr>
        <w:ind w:left="1140" w:hanging="1140"/>
      </w:pPr>
    </w:lvl>
    <w:lvl w:ilvl="6" w:tentative="1">
      <w:start w:val="1"/>
      <w:numFmt w:val="decimal"/>
      <w:lvlText w:val="%1.%2.%3.%4.%5.%6.%7"/>
      <w:lvlJc w:val="left"/>
      <w:pPr>
        <w:ind w:left="1280" w:hanging="1280"/>
      </w:pPr>
    </w:lvl>
    <w:lvl w:ilvl="7" w:tentative="1">
      <w:start w:val="1"/>
      <w:numFmt w:val="decimal"/>
      <w:lvlText w:val="%1.%2.%3.%4.%5.%6.%7.%8"/>
      <w:lvlJc w:val="left"/>
      <w:pPr>
        <w:ind w:left="1440" w:hanging="1440"/>
      </w:pPr>
    </w:lvl>
    <w:lvl w:ilvl="8" w:tentative="1">
      <w:start w:val="1"/>
      <w:numFmt w:val="decimal"/>
      <w:lvlText w:val="%1.%2.%3.%4.%5.%6.%7.%8.%9"/>
      <w:lvlJc w:val="left"/>
      <w:pPr>
        <w:ind w:left="1580" w:hanging="15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B7"/>
    <w:rsid w:val="004B3F7D"/>
    <w:rsid w:val="00B14141"/>
    <w:rsid w:val="00B25108"/>
    <w:rsid w:val="00D94ACE"/>
    <w:rsid w:val="00DD3DB7"/>
    <w:rsid w:val="00DD43D1"/>
    <w:rsid w:val="00F91CC3"/>
    <w:rsid w:val="00F92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030BA-3CB5-4798-AE80-11ABB40E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D3DB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paragraph" w:styleId="StandardWeb">
    <w:name w:val="Normal (Web)"/>
    <w:basedOn w:val="Standard"/>
    <w:uiPriority w:val="99"/>
    <w:unhideWhenUsed/>
    <w:qFormat/>
    <w:rsid w:val="00DD3DB7"/>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character" w:styleId="Hyperlink">
    <w:name w:val="Hyperlink"/>
    <w:basedOn w:val="Absatz-Standardschriftart"/>
    <w:uiPriority w:val="99"/>
    <w:unhideWhenUsed/>
    <w:rsid w:val="00DD3D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HRIST~1\AppData\Local\Temp\msohtmlclip1\01\clip_image005.jpg" TargetMode="External"/><Relationship Id="rId13" Type="http://schemas.openxmlformats.org/officeDocument/2006/relationships/image" Target="media/image5.jpg"/><Relationship Id="rId18" Type="http://schemas.openxmlformats.org/officeDocument/2006/relationships/image" Target="file:///C:\Users\CHRIST~1\AppData\Local\Temp\msohtmlclip1\01\clip_image010.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2.jpg"/><Relationship Id="rId12" Type="http://schemas.openxmlformats.org/officeDocument/2006/relationships/image" Target="file:///C:\Users\CHRIST~1\AppData\Local\Temp\msohtmlclip1\01\clip_image007.jpg" TargetMode="External"/><Relationship Id="rId17" Type="http://schemas.openxmlformats.org/officeDocument/2006/relationships/image" Target="media/image7.jpg"/><Relationship Id="rId25" Type="http://schemas.openxmlformats.org/officeDocument/2006/relationships/hyperlink" Target="http://www.chemie.de/lexikon/Abdampfen.html" TargetMode="External"/><Relationship Id="rId2" Type="http://schemas.openxmlformats.org/officeDocument/2006/relationships/styles" Target="styles.xml"/><Relationship Id="rId16" Type="http://schemas.openxmlformats.org/officeDocument/2006/relationships/image" Target="file:///C:\Users\CHRIST~1\AppData\Local\Temp\msohtmlclip1\01\clip_image009.jpg" TargetMode="External"/><Relationship Id="rId20" Type="http://schemas.openxmlformats.org/officeDocument/2006/relationships/image" Target="file:///C:\Users\CHRIST~1\AppData\Local\Temp\msohtmlclip1\01\clip_image011.png" TargetMode="External"/><Relationship Id="rId1" Type="http://schemas.openxmlformats.org/officeDocument/2006/relationships/numbering" Target="numbering.xml"/><Relationship Id="rId6" Type="http://schemas.openxmlformats.org/officeDocument/2006/relationships/image" Target="file:///C:\Users\CHRIST~1\AppData\Local\Temp\msohtmlclip1\01\clip_image004.png" TargetMode="External"/><Relationship Id="rId11" Type="http://schemas.openxmlformats.org/officeDocument/2006/relationships/image" Target="media/image4.jpg"/><Relationship Id="rId24" Type="http://schemas.openxmlformats.org/officeDocument/2006/relationships/image" Target="file:///C:\Users\CHRIST~1\AppData\Local\Temp\msohtmlclip1\01\clip_image013.jpg" TargetMode="External"/><Relationship Id="rId5" Type="http://schemas.openxmlformats.org/officeDocument/2006/relationships/image" Target="media/image1.png"/><Relationship Id="rId15" Type="http://schemas.openxmlformats.org/officeDocument/2006/relationships/image" Target="media/image6.jpg"/><Relationship Id="rId23" Type="http://schemas.openxmlformats.org/officeDocument/2006/relationships/image" Target="media/image10.jpg"/><Relationship Id="rId10" Type="http://schemas.openxmlformats.org/officeDocument/2006/relationships/image" Target="file:///C:\Users\CHRIST~1\AppData\Local\Temp\msohtmlclip1\01\clip_image006.jp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file:///C:\Users\CHRIST~1\AppData\Local\Temp\msohtmlclip1\01\clip_image008.jpg" TargetMode="External"/><Relationship Id="rId22" Type="http://schemas.openxmlformats.org/officeDocument/2006/relationships/image" Target="file:///C:\Users\CHRIST~1\AppData\Local\Temp\msohtmlclip1\01\clip_image012.jpg"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1659</Characters>
  <Application>Microsoft Office Word</Application>
  <DocSecurity>0</DocSecurity>
  <Lines>13</Lines>
  <Paragraphs>3</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/Nichts geht verloren!</vt:lpstr>
      <vt: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5</cp:revision>
  <cp:lastPrinted>2016-08-10T09:45:00Z</cp:lastPrinted>
  <dcterms:created xsi:type="dcterms:W3CDTF">2016-08-09T12:46:00Z</dcterms:created>
  <dcterms:modified xsi:type="dcterms:W3CDTF">2016-08-10T09:45:00Z</dcterms:modified>
</cp:coreProperties>
</file>