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305773"/>
    <w:bookmarkStart w:id="1" w:name="_GoBack"/>
    <w:bookmarkEnd w:id="1"/>
    <w:p w:rsidR="00064C8B" w:rsidRPr="004665CB" w:rsidRDefault="00064C8B" w:rsidP="00064C8B">
      <w:pPr>
        <w:pStyle w:val="berschrift2"/>
        <w:numPr>
          <w:ilvl w:val="0"/>
          <w:numId w:val="0"/>
        </w:numPr>
        <w:spacing w:after="200"/>
        <w:ind w:left="576" w:hanging="576"/>
        <w:rPr>
          <w:color w:val="auto"/>
        </w:rPr>
      </w:pPr>
      <w:r w:rsidRPr="004665CB">
        <w:rPr>
          <w:noProof/>
          <w:lang w:eastAsia="de-DE"/>
        </w:rPr>
        <mc:AlternateContent>
          <mc:Choice Requires="wps">
            <w:drawing>
              <wp:anchor distT="0" distB="0" distL="114300" distR="114300" simplePos="0" relativeHeight="251659264" behindDoc="0" locked="0" layoutInCell="1" allowOverlap="1" wp14:anchorId="291965A6" wp14:editId="4E5D6992">
                <wp:simplePos x="0" y="0"/>
                <wp:positionH relativeFrom="column">
                  <wp:posOffset>14605</wp:posOffset>
                </wp:positionH>
                <wp:positionV relativeFrom="paragraph">
                  <wp:posOffset>456565</wp:posOffset>
                </wp:positionV>
                <wp:extent cx="5873115" cy="1607820"/>
                <wp:effectExtent l="6350" t="6350" r="18415" b="16510"/>
                <wp:wrapSquare wrapText="bothSides"/>
                <wp:docPr id="51" name="Text Box 134"/>
                <wp:cNvGraphicFramePr/>
                <a:graphic xmlns:a="http://schemas.openxmlformats.org/drawingml/2006/main">
                  <a:graphicData uri="http://schemas.microsoft.com/office/word/2010/wordprocessingShape">
                    <wps:wsp>
                      <wps:cNvSpPr txBox="1"/>
                      <wps:spPr>
                        <a:xfrm>
                          <a:off x="0" y="0"/>
                          <a:ext cx="5873115" cy="1607820"/>
                        </a:xfrm>
                        <a:prstGeom prst="rect">
                          <a:avLst/>
                        </a:prstGeom>
                        <a:solidFill>
                          <a:srgbClr val="FFFFFF"/>
                        </a:solidFill>
                        <a:ln w="12700" cap="flat" cmpd="sng">
                          <a:solidFill>
                            <a:srgbClr val="4BACC6"/>
                          </a:solidFill>
                          <a:prstDash val="dash"/>
                          <a:miter/>
                          <a:headEnd type="none" w="med" len="med"/>
                          <a:tailEnd type="none" w="med" len="med"/>
                        </a:ln>
                      </wps:spPr>
                      <wps:txbx>
                        <w:txbxContent>
                          <w:p w:rsidR="00064C8B" w:rsidRPr="004665CB" w:rsidRDefault="00064C8B" w:rsidP="00064C8B">
                            <w:pPr>
                              <w:rPr>
                                <w:color w:val="auto"/>
                              </w:rPr>
                            </w:pPr>
                            <w:r w:rsidRPr="004665CB">
                              <w:rPr>
                                <w:rFonts w:eastAsia="Calibri" w:cs="Arial"/>
                                <w:color w:val="auto"/>
                                <w:lang w:eastAsia="zh-CN" w:bidi="ar"/>
                              </w:rPr>
                              <w:t xml:space="preserve">In diesem Versuch sollen die Anomalie des Wassers und seine Volumenvergrößerung beim Übergang in die Gasphase betrachtet werden. Dadurch, dass das Wasser bereits vorbereitend im Gefrierfach eines Kühlschrankes gefroren werden kann, kann die Volumenänderung beim Auftauen mithilfe eines warmen Wasserbades schnell beobachtet werden.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sollten bei der Durchführung bereits den Zusammenhang zwischen Aggregatzuständen und Teilchenebene kennen und insbesondere die verschiedenen Aggregatzustände des Wassers kennen.</w:t>
                            </w:r>
                          </w:p>
                        </w:txbxContent>
                      </wps:txbx>
                      <wps:bodyPr vert="horz" wrap="square" anchor="t" upright="1"/>
                    </wps:wsp>
                  </a:graphicData>
                </a:graphic>
              </wp:anchor>
            </w:drawing>
          </mc:Choice>
          <mc:Fallback>
            <w:pict>
              <v:shapetype w14:anchorId="291965A6" id="_x0000_t202" coordsize="21600,21600" o:spt="202" path="m,l,21600r21600,l21600,xe">
                <v:stroke joinstyle="miter"/>
                <v:path gradientshapeok="t" o:connecttype="rect"/>
              </v:shapetype>
              <v:shape id="Text Box 134" o:spid="_x0000_s1026" type="#_x0000_t202" style="position:absolute;left:0;text-align:left;margin-left:1.15pt;margin-top:35.95pt;width:462.45pt;height:12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" strokecolor="#4bacc6" strokeweight="1pt">
                <v:stroke dashstyle="dash"/>
                <v:textbox>
                  <w:txbxContent>
                    <w:p w:rsidR="00064C8B" w:rsidRPr="004665CB" w:rsidRDefault="00064C8B" w:rsidP="00064C8B">
                      <w:pPr>
                        <w:rPr>
                          <w:color w:val="auto"/>
                        </w:rPr>
                      </w:pPr>
                      <w:r w:rsidRPr="004665CB">
                        <w:rPr>
                          <w:rFonts w:eastAsia="Calibri" w:cs="Arial"/>
                          <w:color w:val="auto"/>
                          <w:lang w:eastAsia="zh-CN" w:bidi="ar"/>
                        </w:rPr>
                        <w:t xml:space="preserve">In diesem Versuch sollen die Anomalie des Wassers und seine Volumenvergrößerung beim Übergang in die Gasphase betrachtet werden. Dadurch, dass das Wasser bereits vorbereitend im Gefrierfach eines Kühlschrankes gefroren werden kann, kann die Volumenänderung beim Auftauen mithilfe eines warmen Wasserbades schnell beobachtet werden.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sollten bei der Durchführung bereits den Zusammenhang zwischen Aggregatzuständen und Teilchenebene kennen und insbesondere die verschiedenen Aggregatzustände des Wassers kennen.</w:t>
                      </w:r>
                    </w:p>
                  </w:txbxContent>
                </v:textbox>
                <w10:wrap type="square"/>
              </v:shape>
            </w:pict>
          </mc:Fallback>
        </mc:AlternateContent>
      </w:r>
      <w:r w:rsidRPr="004665CB">
        <w:rPr>
          <w:color w:val="auto"/>
        </w:rPr>
        <w:t>V2 – Volumenänderung von Eis beim Erwärmen</w:t>
      </w:r>
      <w:bookmarkEnd w:id="0"/>
    </w:p>
    <w:p w:rsidR="00064C8B" w:rsidRPr="004665CB" w:rsidRDefault="00064C8B" w:rsidP="00064C8B"/>
    <w:tbl>
      <w:tblPr>
        <w:tblW w:w="9320" w:type="dxa"/>
        <w:tblLayout w:type="fixed"/>
        <w:tblCellMar>
          <w:left w:w="100" w:type="dxa"/>
          <w:right w:w="100" w:type="dxa"/>
        </w:tblCellMar>
        <w:tblLook w:val="04A0" w:firstRow="1" w:lastRow="0" w:firstColumn="1" w:lastColumn="0" w:noHBand="0" w:noVBand="1"/>
      </w:tblPr>
      <w:tblGrid>
        <w:gridCol w:w="1000"/>
        <w:gridCol w:w="1000"/>
        <w:gridCol w:w="1020"/>
        <w:gridCol w:w="1000"/>
        <w:gridCol w:w="1160"/>
        <w:gridCol w:w="1000"/>
        <w:gridCol w:w="960"/>
        <w:gridCol w:w="1000"/>
        <w:gridCol w:w="1180"/>
      </w:tblGrid>
      <w:tr w:rsidR="00064C8B" w:rsidRPr="004665CB" w:rsidTr="00C337DA">
        <w:tc>
          <w:tcPr>
            <w:tcW w:w="9320" w:type="dxa"/>
            <w:gridSpan w:val="9"/>
            <w:tcBorders>
              <w:top w:val="single" w:sz="8" w:space="0" w:color="4F81BD"/>
              <w:left w:val="single" w:sz="8" w:space="0" w:color="4F81BD"/>
              <w:bottom w:val="nil"/>
              <w:right w:val="single" w:sz="8" w:space="0" w:color="4F81BD"/>
            </w:tcBorders>
            <w:shd w:val="clear" w:color="auto" w:fill="4F81BD"/>
            <w:vAlign w:val="center"/>
          </w:tcPr>
          <w:p w:rsidR="00064C8B" w:rsidRPr="004665CB" w:rsidRDefault="00064C8B" w:rsidP="00C337DA">
            <w:pPr>
              <w:spacing w:after="0"/>
              <w:jc w:val="center"/>
              <w:rPr>
                <w:b/>
                <w:color w:val="FFFFFF"/>
              </w:rPr>
            </w:pPr>
            <w:r w:rsidRPr="004665CB">
              <w:rPr>
                <w:rFonts w:eastAsia="Calibri" w:cs="Arial"/>
                <w:b/>
                <w:color w:val="FFFFFF"/>
                <w:lang w:eastAsia="zh-CN" w:bidi="ar"/>
              </w:rPr>
              <w:t>Gefahrenstoffe</w:t>
            </w:r>
          </w:p>
        </w:tc>
      </w:tr>
      <w:tr w:rsidR="00064C8B" w:rsidRPr="004665CB" w:rsidTr="00C337DA">
        <w:trPr>
          <w:trHeight w:val="420"/>
        </w:trPr>
        <w:tc>
          <w:tcPr>
            <w:tcW w:w="3020" w:type="dxa"/>
            <w:gridSpan w:val="3"/>
            <w:tcBorders>
              <w:top w:val="single" w:sz="8" w:space="0" w:color="4F81BD"/>
              <w:left w:val="single" w:sz="8" w:space="0" w:color="4F81BD"/>
              <w:bottom w:val="single" w:sz="8" w:space="0" w:color="4F81BD"/>
              <w:right w:val="nil"/>
            </w:tcBorders>
            <w:shd w:val="clear" w:color="auto" w:fill="auto"/>
            <w:vAlign w:val="center"/>
          </w:tcPr>
          <w:p w:rsidR="00064C8B" w:rsidRPr="004665CB" w:rsidRDefault="00064C8B" w:rsidP="00C337DA">
            <w:pPr>
              <w:spacing w:after="0" w:line="276" w:lineRule="auto"/>
              <w:jc w:val="center"/>
              <w:rPr>
                <w:b/>
              </w:rPr>
            </w:pPr>
            <w:r w:rsidRPr="004665CB">
              <w:rPr>
                <w:rFonts w:eastAsia="Calibri" w:cs="Arial"/>
                <w:color w:val="1D1B11"/>
                <w:sz w:val="20"/>
                <w:lang w:eastAsia="zh-CN" w:bidi="ar"/>
              </w:rPr>
              <w:t>Wasser</w:t>
            </w:r>
          </w:p>
        </w:tc>
        <w:tc>
          <w:tcPr>
            <w:tcW w:w="3160" w:type="dxa"/>
            <w:gridSpan w:val="3"/>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color w:val="1D1B11"/>
                <w:sz w:val="20"/>
                <w:lang w:eastAsia="zh-CN" w:bidi="ar"/>
              </w:rPr>
              <w:t xml:space="preserve">H: </w:t>
            </w:r>
            <w:r w:rsidRPr="004665CB">
              <w:rPr>
                <w:rFonts w:eastAsia="Calibri" w:cs="Arial"/>
                <w:color w:val="1D1B11"/>
                <w:lang w:eastAsia="zh-CN" w:bidi="ar"/>
              </w:rPr>
              <w:t>-</w:t>
            </w:r>
          </w:p>
        </w:tc>
        <w:tc>
          <w:tcPr>
            <w:tcW w:w="3100" w:type="dxa"/>
            <w:gridSpan w:val="3"/>
            <w:tcBorders>
              <w:top w:val="single" w:sz="8" w:space="0" w:color="4F81BD"/>
              <w:left w:val="nil"/>
              <w:bottom w:val="single" w:sz="8" w:space="0" w:color="4F81BD"/>
              <w:right w:val="single" w:sz="8" w:space="0" w:color="4F81BD"/>
            </w:tcBorders>
            <w:shd w:val="clear" w:color="auto" w:fill="auto"/>
            <w:vAlign w:val="center"/>
          </w:tcPr>
          <w:p w:rsidR="00064C8B" w:rsidRPr="004665CB" w:rsidRDefault="00064C8B" w:rsidP="00C337DA">
            <w:pPr>
              <w:spacing w:after="0"/>
              <w:jc w:val="center"/>
            </w:pPr>
            <w:r w:rsidRPr="004665CB">
              <w:rPr>
                <w:rFonts w:eastAsia="Calibri" w:cs="Arial"/>
                <w:color w:val="1D1B11"/>
                <w:sz w:val="20"/>
                <w:lang w:eastAsia="zh-CN" w:bidi="ar"/>
              </w:rPr>
              <w:t xml:space="preserve">P: </w:t>
            </w:r>
            <w:r w:rsidRPr="004665CB">
              <w:rPr>
                <w:rFonts w:eastAsia="Calibri" w:cs="Arial"/>
                <w:color w:val="1D1B11"/>
                <w:lang w:eastAsia="zh-CN" w:bidi="ar"/>
              </w:rPr>
              <w:t>-</w:t>
            </w:r>
          </w:p>
        </w:tc>
      </w:tr>
      <w:tr w:rsidR="00064C8B" w:rsidRPr="004665CB" w:rsidTr="00C337DA">
        <w:tc>
          <w:tcPr>
            <w:tcW w:w="1000" w:type="dxa"/>
            <w:tcBorders>
              <w:top w:val="single" w:sz="8" w:space="0" w:color="4F81BD"/>
              <w:left w:val="single" w:sz="8" w:space="0" w:color="4F81BD"/>
              <w:bottom w:val="single" w:sz="8" w:space="0" w:color="4F81BD"/>
              <w:right w:val="nil"/>
            </w:tcBorders>
            <w:shd w:val="clear" w:color="auto" w:fill="auto"/>
            <w:vAlign w:val="center"/>
          </w:tcPr>
          <w:p w:rsidR="00064C8B" w:rsidRPr="004665CB" w:rsidRDefault="00064C8B" w:rsidP="00C337DA">
            <w:pPr>
              <w:spacing w:after="0"/>
              <w:jc w:val="center"/>
              <w:rPr>
                <w:b/>
                <w:bCs/>
              </w:rPr>
            </w:pPr>
            <w:r w:rsidRPr="004665CB">
              <w:rPr>
                <w:rFonts w:eastAsia="Calibri" w:cs="Arial"/>
                <w:b/>
                <w:noProof/>
                <w:color w:val="1D1B11"/>
                <w:lang w:eastAsia="de-DE"/>
              </w:rPr>
              <w:drawing>
                <wp:inline distT="0" distB="0" distL="114300" distR="114300" wp14:anchorId="70A7DED4" wp14:editId="731C4E38">
                  <wp:extent cx="502920" cy="502920"/>
                  <wp:effectExtent l="0" t="0" r="0" b="0"/>
                  <wp:docPr id="13" name="Grafik 31" descr="Ät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31" descr="Ätzend grau"/>
                          <pic:cNvPicPr>
                            <a:picLocks noChangeAspect="1"/>
                          </pic:cNvPicPr>
                        </pic:nvPicPr>
                        <pic:blipFill>
                          <a:blip r:embed="rId5" r:link="rId6"/>
                          <a:stretch>
                            <a:fillRect/>
                          </a:stretch>
                        </pic:blipFill>
                        <pic:spPr>
                          <a:xfrm>
                            <a:off x="0" y="0"/>
                            <a:ext cx="502920" cy="50292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1FF1A711" wp14:editId="14A3003C">
                  <wp:extent cx="495300" cy="495300"/>
                  <wp:effectExtent l="0" t="0" r="0" b="0"/>
                  <wp:docPr id="23"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30"/>
                          <pic:cNvPicPr>
                            <a:picLocks noChangeAspect="1"/>
                          </pic:cNvPicPr>
                        </pic:nvPicPr>
                        <pic:blipFill>
                          <a:blip r:embed="rId7" r:link="rId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4C4CB518" wp14:editId="35CC3582">
                  <wp:extent cx="495300" cy="495300"/>
                  <wp:effectExtent l="0" t="0" r="0" b="0"/>
                  <wp:docPr id="24"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9"/>
                          <pic:cNvPicPr>
                            <a:picLocks noChangeAspect="1"/>
                          </pic:cNvPicPr>
                        </pic:nvPicPr>
                        <pic:blipFill>
                          <a:blip r:embed="rId9" r:link="rId10"/>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762D8341" wp14:editId="4B115C4F">
                  <wp:extent cx="495300" cy="495300"/>
                  <wp:effectExtent l="0" t="0" r="0" b="0"/>
                  <wp:docPr id="7"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8"/>
                          <pic:cNvPicPr>
                            <a:picLocks noChangeAspect="1"/>
                          </pic:cNvPicPr>
                        </pic:nvPicPr>
                        <pic:blipFill>
                          <a:blip r:embed="rId11" r:link="rId12"/>
                          <a:stretch>
                            <a:fillRect/>
                          </a:stretch>
                        </pic:blipFill>
                        <pic:spPr>
                          <a:xfrm>
                            <a:off x="0" y="0"/>
                            <a:ext cx="495300" cy="495300"/>
                          </a:xfrm>
                          <a:prstGeom prst="rect">
                            <a:avLst/>
                          </a:prstGeom>
                          <a:noFill/>
                          <a:ln w="9525">
                            <a:noFill/>
                            <a:miter/>
                          </a:ln>
                        </pic:spPr>
                      </pic:pic>
                    </a:graphicData>
                  </a:graphic>
                </wp:inline>
              </w:drawing>
            </w:r>
          </w:p>
        </w:tc>
        <w:tc>
          <w:tcPr>
            <w:tcW w:w="116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740F1ABD" wp14:editId="0281AEEA">
                  <wp:extent cx="495300" cy="495300"/>
                  <wp:effectExtent l="0" t="0" r="0" b="0"/>
                  <wp:docPr id="2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7"/>
                          <pic:cNvPicPr>
                            <a:picLocks noChangeAspect="1"/>
                          </pic:cNvPicPr>
                        </pic:nvPicPr>
                        <pic:blipFill>
                          <a:blip r:embed="rId13" r:link="rId14"/>
                          <a:stretch>
                            <a:fillRect/>
                          </a:stretch>
                        </pic:blipFill>
                        <pic:spPr>
                          <a:xfrm>
                            <a:off x="0" y="0"/>
                            <a:ext cx="495300" cy="495300"/>
                          </a:xfrm>
                          <a:prstGeom prst="rect">
                            <a:avLst/>
                          </a:prstGeom>
                          <a:noFill/>
                          <a:ln w="9525">
                            <a:noFill/>
                            <a:miter/>
                          </a:ln>
                        </pic:spPr>
                      </pic:pic>
                    </a:graphicData>
                  </a:graphic>
                </wp:inline>
              </w:drawing>
            </w:r>
          </w:p>
        </w:tc>
        <w:tc>
          <w:tcPr>
            <w:tcW w:w="98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441FEA00" wp14:editId="1760D52D">
                  <wp:extent cx="495300" cy="495300"/>
                  <wp:effectExtent l="0" t="0" r="0" b="0"/>
                  <wp:docPr id="30"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26"/>
                          <pic:cNvPicPr>
                            <a:picLocks noChangeAspect="1"/>
                          </pic:cNvPicPr>
                        </pic:nvPicPr>
                        <pic:blipFill>
                          <a:blip r:embed="rId15" r:link="rId16"/>
                          <a:stretch>
                            <a:fillRect/>
                          </a:stretch>
                        </pic:blipFill>
                        <pic:spPr>
                          <a:xfrm>
                            <a:off x="0" y="0"/>
                            <a:ext cx="495300" cy="495300"/>
                          </a:xfrm>
                          <a:prstGeom prst="rect">
                            <a:avLst/>
                          </a:prstGeom>
                          <a:noFill/>
                          <a:ln w="9525">
                            <a:noFill/>
                            <a:miter/>
                          </a:ln>
                        </pic:spPr>
                      </pic:pic>
                    </a:graphicData>
                  </a:graphic>
                </wp:inline>
              </w:drawing>
            </w:r>
          </w:p>
        </w:tc>
        <w:tc>
          <w:tcPr>
            <w:tcW w:w="96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78DEDB4A" wp14:editId="188F8BB7">
                  <wp:extent cx="495300" cy="495300"/>
                  <wp:effectExtent l="0" t="0" r="0" b="0"/>
                  <wp:docPr id="2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4"/>
                          <pic:cNvPicPr>
                            <a:picLocks noChangeAspect="1"/>
                          </pic:cNvPicPr>
                        </pic:nvPicPr>
                        <pic:blipFill>
                          <a:blip r:embed="rId17" r:link="rId1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55EF9943" wp14:editId="63D77881">
                  <wp:extent cx="502920" cy="502920"/>
                  <wp:effectExtent l="0" t="0" r="0" b="0"/>
                  <wp:docPr id="28" name="Grafik 23" descr="Rei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3" descr="Reizend grau"/>
                          <pic:cNvPicPr>
                            <a:picLocks noChangeAspect="1"/>
                          </pic:cNvPicPr>
                        </pic:nvPicPr>
                        <pic:blipFill>
                          <a:blip r:embed="rId19" r:link="rId20"/>
                          <a:stretch>
                            <a:fillRect/>
                          </a:stretch>
                        </pic:blipFill>
                        <pic:spPr>
                          <a:xfrm>
                            <a:off x="0" y="0"/>
                            <a:ext cx="502920" cy="502920"/>
                          </a:xfrm>
                          <a:prstGeom prst="rect">
                            <a:avLst/>
                          </a:prstGeom>
                          <a:noFill/>
                          <a:ln w="9525">
                            <a:noFill/>
                            <a:miter/>
                          </a:ln>
                        </pic:spPr>
                      </pic:pic>
                    </a:graphicData>
                  </a:graphic>
                </wp:inline>
              </w:drawing>
            </w:r>
          </w:p>
        </w:tc>
        <w:tc>
          <w:tcPr>
            <w:tcW w:w="1135" w:type="dxa"/>
            <w:tcBorders>
              <w:top w:val="single" w:sz="8" w:space="0" w:color="4F81BD"/>
              <w:left w:val="nil"/>
              <w:bottom w:val="single" w:sz="8" w:space="0" w:color="4F81BD"/>
              <w:right w:val="single" w:sz="8" w:space="0" w:color="4F81BD"/>
            </w:tcBorders>
            <w:shd w:val="clear" w:color="auto" w:fill="auto"/>
            <w:vAlign w:val="center"/>
          </w:tcPr>
          <w:p w:rsidR="00064C8B" w:rsidRPr="004665CB" w:rsidRDefault="00064C8B" w:rsidP="00C337DA">
            <w:pPr>
              <w:spacing w:after="0"/>
              <w:jc w:val="center"/>
            </w:pPr>
            <w:r w:rsidRPr="004665CB">
              <w:rPr>
                <w:rFonts w:eastAsia="Calibri" w:cs="Arial"/>
                <w:noProof/>
                <w:color w:val="1D1B11"/>
                <w:lang w:eastAsia="de-DE"/>
              </w:rPr>
              <w:drawing>
                <wp:inline distT="0" distB="0" distL="114300" distR="114300" wp14:anchorId="5C36CC8C" wp14:editId="3D51EEFA">
                  <wp:extent cx="495300" cy="495300"/>
                  <wp:effectExtent l="0" t="0" r="0" b="0"/>
                  <wp:docPr id="2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2"/>
                          <pic:cNvPicPr>
                            <a:picLocks noChangeAspect="1"/>
                          </pic:cNvPicPr>
                        </pic:nvPicPr>
                        <pic:blipFill>
                          <a:blip r:embed="rId21" r:link="rId22"/>
                          <a:stretch>
                            <a:fillRect/>
                          </a:stretch>
                        </pic:blipFill>
                        <pic:spPr>
                          <a:xfrm>
                            <a:off x="0" y="0"/>
                            <a:ext cx="495300" cy="495300"/>
                          </a:xfrm>
                          <a:prstGeom prst="rect">
                            <a:avLst/>
                          </a:prstGeom>
                          <a:noFill/>
                          <a:ln w="9525">
                            <a:noFill/>
                            <a:miter/>
                          </a:ln>
                        </pic:spPr>
                      </pic:pic>
                    </a:graphicData>
                  </a:graphic>
                </wp:inline>
              </w:drawing>
            </w:r>
          </w:p>
        </w:tc>
      </w:tr>
    </w:tbl>
    <w:p w:rsidR="00064C8B" w:rsidRPr="004665CB" w:rsidRDefault="00064C8B" w:rsidP="00064C8B">
      <w:pPr>
        <w:tabs>
          <w:tab w:val="left" w:pos="1702"/>
          <w:tab w:val="left" w:pos="1980"/>
        </w:tabs>
        <w:ind w:left="1980" w:hanging="1980"/>
      </w:pPr>
    </w:p>
    <w:p w:rsidR="00064C8B" w:rsidRPr="004665CB" w:rsidRDefault="00064C8B" w:rsidP="00064C8B">
      <w:pPr>
        <w:tabs>
          <w:tab w:val="left" w:pos="1702"/>
          <w:tab w:val="left" w:pos="1980"/>
        </w:tabs>
        <w:ind w:left="1980" w:hanging="1980"/>
      </w:pPr>
      <w:r>
        <w:rPr>
          <w:rFonts w:eastAsia="Calibri" w:cs="Arial"/>
          <w:color w:val="1D1B11"/>
          <w:lang w:eastAsia="zh-CN" w:bidi="ar"/>
        </w:rPr>
        <w:t>Materialien:</w:t>
      </w:r>
      <w:r w:rsidRPr="004665CB">
        <w:rPr>
          <w:rFonts w:eastAsia="Calibri" w:cs="Arial"/>
          <w:color w:val="1D1B11"/>
          <w:lang w:eastAsia="zh-CN" w:bidi="ar"/>
        </w:rPr>
        <w:tab/>
      </w:r>
      <w:r w:rsidRPr="004665CB">
        <w:rPr>
          <w:rFonts w:eastAsia="Calibri" w:cs="Arial"/>
          <w:color w:val="1D1B11"/>
          <w:lang w:eastAsia="zh-CN" w:bidi="ar"/>
        </w:rPr>
        <w:tab/>
        <w:t>Plastikbecher, Becherglas, Reagenzglas, Luftballon, Stativ, Muffe, Reagenzglasklammer Gasbrenner, Kühlschrank mit Gefrierfach.</w:t>
      </w:r>
    </w:p>
    <w:p w:rsidR="00064C8B" w:rsidRPr="004665CB" w:rsidRDefault="00064C8B" w:rsidP="00064C8B">
      <w:pPr>
        <w:tabs>
          <w:tab w:val="left" w:pos="1702"/>
          <w:tab w:val="left" w:pos="1980"/>
        </w:tabs>
      </w:pPr>
      <w:r w:rsidRPr="004665CB">
        <w:rPr>
          <w:rFonts w:eastAsia="Calibri" w:cs="Arial"/>
          <w:color w:val="1D1B11"/>
          <w:lang w:eastAsia="zh-CN" w:bidi="ar"/>
        </w:rPr>
        <w:t>Chemikalien:</w:t>
      </w:r>
      <w:r w:rsidRPr="004665CB">
        <w:rPr>
          <w:rFonts w:eastAsia="Calibri" w:cs="Arial"/>
          <w:color w:val="1D1B11"/>
          <w:lang w:eastAsia="zh-CN" w:bidi="ar"/>
        </w:rPr>
        <w:tab/>
      </w:r>
      <w:r w:rsidRPr="004665CB">
        <w:rPr>
          <w:rFonts w:eastAsia="Calibri" w:cs="Arial"/>
          <w:color w:val="1D1B11"/>
          <w:lang w:eastAsia="zh-CN" w:bidi="ar"/>
        </w:rPr>
        <w:tab/>
        <w:t>Wasser</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Durchführung 1:</w:t>
      </w:r>
      <w:r w:rsidRPr="004665CB">
        <w:rPr>
          <w:rFonts w:eastAsia="Calibri" w:cs="Arial"/>
          <w:color w:val="1D1B11"/>
          <w:lang w:eastAsia="zh-CN" w:bidi="ar"/>
        </w:rPr>
        <w:tab/>
      </w:r>
      <w:r w:rsidRPr="004665CB">
        <w:rPr>
          <w:rFonts w:eastAsia="Calibri" w:cs="Arial"/>
          <w:color w:val="1D1B11"/>
          <w:lang w:eastAsia="zh-CN" w:bidi="ar"/>
        </w:rPr>
        <w:tab/>
        <w:t>Vorbereitend zur Unterrichtsstunde werden 50 mL Wasser in einen Plastikbecher gegeben und gefroren. Die Füllhöhe des Eises wird mit einem Filzstift markiert. Anschließend wird der Becher in ein warmes Wasserbad gegeben, um das Auftauen zu beschleunigen. Der Wasserpegel nach dem Auftauen wird wiederum markiert.</w:t>
      </w:r>
    </w:p>
    <w:p w:rsidR="00064C8B" w:rsidRPr="004665CB" w:rsidRDefault="00064C8B" w:rsidP="00064C8B">
      <w:pPr>
        <w:tabs>
          <w:tab w:val="left" w:pos="1702"/>
          <w:tab w:val="left" w:pos="1980"/>
        </w:tabs>
        <w:ind w:left="1980" w:hanging="1980"/>
      </w:pPr>
    </w:p>
    <w:p w:rsidR="00064C8B" w:rsidRPr="004665CB" w:rsidRDefault="00064C8B" w:rsidP="00064C8B">
      <w:pPr>
        <w:tabs>
          <w:tab w:val="left" w:pos="1702"/>
          <w:tab w:val="left" w:pos="1980"/>
        </w:tabs>
        <w:ind w:left="1980" w:hanging="1980"/>
        <w:rPr>
          <w:lang w:eastAsia="de"/>
        </w:rPr>
      </w:pPr>
    </w:p>
    <w:p w:rsidR="00064C8B" w:rsidRPr="004665CB" w:rsidRDefault="00064C8B" w:rsidP="00064C8B">
      <w:pPr>
        <w:tabs>
          <w:tab w:val="left" w:pos="1702"/>
          <w:tab w:val="left" w:pos="1980"/>
        </w:tabs>
        <w:ind w:left="1980" w:hanging="1980"/>
        <w:jc w:val="center"/>
      </w:pPr>
      <w:r w:rsidRPr="004665CB">
        <w:rPr>
          <w:rFonts w:eastAsia="Calibri" w:cs="Arial"/>
          <w:noProof/>
          <w:color w:val="1D1B11"/>
          <w:lang w:eastAsia="de-DE"/>
        </w:rPr>
        <w:lastRenderedPageBreak/>
        <w:drawing>
          <wp:inline distT="0" distB="0" distL="114300" distR="114300" wp14:anchorId="0B49B7AD" wp14:editId="26182CEF">
            <wp:extent cx="3276600" cy="3238500"/>
            <wp:effectExtent l="0" t="0" r="0" b="0"/>
            <wp:docPr id="29" name="Bild 137" descr="20160721_1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 137" descr="20160721_101202"/>
                    <pic:cNvPicPr>
                      <a:picLocks noChangeAspect="1"/>
                    </pic:cNvPicPr>
                  </pic:nvPicPr>
                  <pic:blipFill>
                    <a:blip r:embed="rId23" r:link="rId24"/>
                    <a:srcRect l="22252" r="20795"/>
                    <a:stretch>
                      <a:fillRect/>
                    </a:stretch>
                  </pic:blipFill>
                  <pic:spPr>
                    <a:xfrm rot="10800000">
                      <a:off x="0" y="0"/>
                      <a:ext cx="3276600" cy="3238500"/>
                    </a:xfrm>
                    <a:prstGeom prst="rect">
                      <a:avLst/>
                    </a:prstGeom>
                    <a:noFill/>
                    <a:ln w="9525">
                      <a:noFill/>
                      <a:miter/>
                    </a:ln>
                  </pic:spPr>
                </pic:pic>
              </a:graphicData>
            </a:graphic>
          </wp:inline>
        </w:drawing>
      </w:r>
    </w:p>
    <w:p w:rsidR="00064C8B" w:rsidRPr="004665CB" w:rsidRDefault="00064C8B" w:rsidP="00064C8B">
      <w:pPr>
        <w:pStyle w:val="StandardWeb"/>
        <w:spacing w:before="0" w:beforeAutospacing="0" w:after="200" w:afterAutospacing="0"/>
        <w:jc w:val="center"/>
      </w:pPr>
      <w:r w:rsidRPr="004665CB">
        <w:rPr>
          <w:rFonts w:ascii="Cambria" w:eastAsia="Calibri" w:hAnsi="Cambria" w:cs="Arial"/>
          <w:bCs/>
          <w:sz w:val="18"/>
          <w:szCs w:val="18"/>
          <w:lang w:eastAsia="zh-CN" w:bidi="ar"/>
        </w:rPr>
        <w:t xml:space="preserve">Abbildung </w:t>
      </w:r>
      <w:r w:rsidRPr="004665CB">
        <w:rPr>
          <w:rFonts w:ascii="Cambria" w:eastAsia="Calibri" w:hAnsi="Cambria" w:cs="Arial"/>
          <w:bCs/>
          <w:sz w:val="18"/>
          <w:szCs w:val="18"/>
          <w:lang w:eastAsia="zh-CN" w:bidi="ar"/>
        </w:rPr>
        <w:fldChar w:fldCharType="begin"/>
      </w:r>
      <w:r w:rsidRPr="004665CB">
        <w:rPr>
          <w:rFonts w:ascii="Cambria" w:eastAsia="Calibri" w:hAnsi="Cambria" w:cs="Arial"/>
          <w:bCs/>
          <w:sz w:val="18"/>
          <w:szCs w:val="18"/>
          <w:lang w:eastAsia="zh-CN" w:bidi="ar"/>
        </w:rPr>
        <w:instrText xml:space="preserve"> SEQ Abbildung \* ARABIC </w:instrText>
      </w:r>
      <w:r w:rsidRPr="004665CB">
        <w:rPr>
          <w:rFonts w:ascii="Cambria" w:eastAsia="Calibri" w:hAnsi="Cambria" w:cs="Arial"/>
          <w:bCs/>
          <w:sz w:val="18"/>
          <w:szCs w:val="18"/>
          <w:lang w:eastAsia="zh-CN" w:bidi="ar"/>
        </w:rPr>
        <w:fldChar w:fldCharType="separate"/>
      </w:r>
      <w:r w:rsidR="00040EAF">
        <w:rPr>
          <w:rFonts w:ascii="Cambria" w:eastAsia="Calibri" w:hAnsi="Cambria" w:cs="Arial"/>
          <w:bCs/>
          <w:noProof/>
          <w:sz w:val="18"/>
          <w:szCs w:val="18"/>
          <w:lang w:eastAsia="zh-CN" w:bidi="ar"/>
        </w:rPr>
        <w:t>1</w:t>
      </w:r>
      <w:r w:rsidRPr="004665CB">
        <w:rPr>
          <w:rFonts w:ascii="Cambria" w:eastAsia="Calibri" w:hAnsi="Cambria" w:cs="Arial"/>
          <w:bCs/>
          <w:sz w:val="18"/>
          <w:szCs w:val="18"/>
          <w:lang w:eastAsia="zh-CN" w:bidi="ar"/>
        </w:rPr>
        <w:fldChar w:fldCharType="end"/>
      </w:r>
      <w:r w:rsidRPr="004665CB">
        <w:rPr>
          <w:rFonts w:ascii="Cambria" w:eastAsia="Calibri" w:hAnsi="Cambria" w:cs="Arial"/>
          <w:bCs/>
          <w:sz w:val="18"/>
          <w:szCs w:val="18"/>
          <w:lang w:eastAsia="zh-CN" w:bidi="ar"/>
        </w:rPr>
        <w:t>: Becher mit gefrorenem Wasser. Der rechte, etwas höher gelegene Strich markiert die Füllhöhe des Eises nach dem Gefrieren, der rechte untere Strich markiert die Füllhöhe des flüssigen Wassers.</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Deutung 1:</w:t>
      </w:r>
      <w:r w:rsidRPr="004665CB">
        <w:rPr>
          <w:rFonts w:eastAsia="Calibri" w:cs="Arial"/>
          <w:color w:val="1D1B11"/>
          <w:lang w:eastAsia="zh-CN" w:bidi="ar"/>
        </w:rPr>
        <w:tab/>
      </w:r>
      <w:r w:rsidRPr="004665CB">
        <w:rPr>
          <w:rFonts w:eastAsia="Calibri" w:cs="Arial"/>
          <w:color w:val="1D1B11"/>
          <w:lang w:eastAsia="zh-CN" w:bidi="ar"/>
        </w:rPr>
        <w:tab/>
        <w:t>Im festen Zustand ordnen sich die Wasserteilchen so an, das kleine Zwischenräume zwischen ihnen bestehen bleiben. Daher hat gefrorenes Wasser ein größeres Volumen als flüssiges Wasser</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Durchführung 2:</w:t>
      </w:r>
      <w:r w:rsidRPr="004665CB">
        <w:rPr>
          <w:rFonts w:eastAsia="Calibri" w:cs="Arial"/>
          <w:color w:val="1D1B11"/>
          <w:lang w:eastAsia="zh-CN" w:bidi="ar"/>
        </w:rPr>
        <w:tab/>
      </w:r>
      <w:r w:rsidRPr="004665CB">
        <w:rPr>
          <w:rFonts w:eastAsia="Calibri" w:cs="Arial"/>
          <w:color w:val="1D1B11"/>
          <w:lang w:eastAsia="zh-CN" w:bidi="ar"/>
        </w:rPr>
        <w:tab/>
        <w:t xml:space="preserve">Etwas Wasser aus dem Becher wird in ein Reagenzglas gegeben, welches anschließend mit einem Luftballon verschlossen wird. Der </w:t>
      </w:r>
      <w:proofErr w:type="spellStart"/>
      <w:r w:rsidRPr="004665CB">
        <w:rPr>
          <w:rFonts w:eastAsia="Calibri" w:cs="Arial"/>
          <w:color w:val="1D1B11"/>
          <w:lang w:eastAsia="zh-CN" w:bidi="ar"/>
        </w:rPr>
        <w:t>Lufballon</w:t>
      </w:r>
      <w:proofErr w:type="spellEnd"/>
      <w:r w:rsidRPr="004665CB">
        <w:rPr>
          <w:rFonts w:eastAsia="Calibri" w:cs="Arial"/>
          <w:color w:val="1D1B11"/>
          <w:lang w:eastAsia="zh-CN" w:bidi="ar"/>
        </w:rPr>
        <w:t xml:space="preserve"> wird mithilfe eines Gummibandes am Reagenzglas fixiert. Über einer Brennerflamme wird das Wasser anschließend vorsichtig erhitzt.</w:t>
      </w:r>
    </w:p>
    <w:p w:rsidR="00064C8B" w:rsidRPr="004665CB" w:rsidRDefault="00064C8B" w:rsidP="00064C8B">
      <w:pPr>
        <w:tabs>
          <w:tab w:val="left" w:pos="1702"/>
          <w:tab w:val="left" w:pos="1980"/>
        </w:tabs>
        <w:ind w:left="1980" w:hanging="1980"/>
      </w:pPr>
    </w:p>
    <w:p w:rsidR="00064C8B" w:rsidRPr="004665CB" w:rsidRDefault="00064C8B" w:rsidP="00064C8B">
      <w:pPr>
        <w:tabs>
          <w:tab w:val="left" w:pos="1702"/>
          <w:tab w:val="left" w:pos="1980"/>
        </w:tabs>
        <w:ind w:left="1980" w:hanging="1980"/>
        <w:jc w:val="center"/>
      </w:pPr>
      <w:r w:rsidRPr="004665CB">
        <w:rPr>
          <w:rFonts w:eastAsia="Calibri" w:cs="Arial"/>
          <w:noProof/>
          <w:color w:val="1D1B11"/>
          <w:lang w:eastAsia="de-DE"/>
        </w:rPr>
        <w:drawing>
          <wp:inline distT="0" distB="0" distL="114300" distR="114300" wp14:anchorId="08809270" wp14:editId="477E7C59">
            <wp:extent cx="1988820" cy="23088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25" r:link="rId26"/>
                    <a:stretch>
                      <a:fillRect/>
                    </a:stretch>
                  </pic:blipFill>
                  <pic:spPr>
                    <a:xfrm>
                      <a:off x="0" y="0"/>
                      <a:ext cx="1988820" cy="2308860"/>
                    </a:xfrm>
                    <a:prstGeom prst="rect">
                      <a:avLst/>
                    </a:prstGeom>
                    <a:noFill/>
                    <a:ln w="9525">
                      <a:noFill/>
                      <a:miter/>
                    </a:ln>
                  </pic:spPr>
                </pic:pic>
              </a:graphicData>
            </a:graphic>
          </wp:inline>
        </w:drawing>
      </w:r>
    </w:p>
    <w:p w:rsidR="00064C8B" w:rsidRPr="004665CB" w:rsidRDefault="00064C8B" w:rsidP="00064C8B">
      <w:pPr>
        <w:pStyle w:val="StandardWeb"/>
        <w:spacing w:before="0" w:beforeAutospacing="0" w:after="200" w:afterAutospacing="0"/>
        <w:jc w:val="both"/>
      </w:pPr>
      <w:r w:rsidRPr="004665CB">
        <w:rPr>
          <w:rFonts w:ascii="Cambria" w:eastAsia="Calibri" w:hAnsi="Cambria" w:cs="Arial"/>
          <w:bCs/>
          <w:sz w:val="18"/>
          <w:szCs w:val="18"/>
          <w:lang w:eastAsia="zh-CN" w:bidi="ar"/>
        </w:rPr>
        <w:t xml:space="preserve">Abbildung </w:t>
      </w:r>
      <w:r w:rsidRPr="004665CB">
        <w:rPr>
          <w:rFonts w:ascii="Cambria" w:eastAsia="Calibri" w:hAnsi="Cambria" w:cs="Arial"/>
          <w:bCs/>
          <w:sz w:val="18"/>
          <w:szCs w:val="18"/>
          <w:lang w:eastAsia="zh-CN" w:bidi="ar"/>
        </w:rPr>
        <w:fldChar w:fldCharType="begin"/>
      </w:r>
      <w:r w:rsidRPr="004665CB">
        <w:rPr>
          <w:rFonts w:ascii="Cambria" w:eastAsia="Calibri" w:hAnsi="Cambria" w:cs="Arial"/>
          <w:bCs/>
          <w:sz w:val="18"/>
          <w:szCs w:val="18"/>
          <w:lang w:eastAsia="zh-CN" w:bidi="ar"/>
        </w:rPr>
        <w:instrText xml:space="preserve"> SEQ Abbildung \* ARABIC </w:instrText>
      </w:r>
      <w:r w:rsidRPr="004665CB">
        <w:rPr>
          <w:rFonts w:ascii="Cambria" w:eastAsia="Calibri" w:hAnsi="Cambria" w:cs="Arial"/>
          <w:bCs/>
          <w:sz w:val="18"/>
          <w:szCs w:val="18"/>
          <w:lang w:eastAsia="zh-CN" w:bidi="ar"/>
        </w:rPr>
        <w:fldChar w:fldCharType="separate"/>
      </w:r>
      <w:r w:rsidR="00040EAF">
        <w:rPr>
          <w:rFonts w:ascii="Cambria" w:eastAsia="Calibri" w:hAnsi="Cambria" w:cs="Arial"/>
          <w:bCs/>
          <w:noProof/>
          <w:sz w:val="18"/>
          <w:szCs w:val="18"/>
          <w:lang w:eastAsia="zh-CN" w:bidi="ar"/>
        </w:rPr>
        <w:t>2</w:t>
      </w:r>
      <w:r w:rsidRPr="004665CB">
        <w:rPr>
          <w:rFonts w:ascii="Cambria" w:eastAsia="Calibri" w:hAnsi="Cambria" w:cs="Arial"/>
          <w:bCs/>
          <w:sz w:val="18"/>
          <w:szCs w:val="18"/>
          <w:lang w:eastAsia="zh-CN" w:bidi="ar"/>
        </w:rPr>
        <w:fldChar w:fldCharType="end"/>
      </w:r>
      <w:r w:rsidRPr="004665CB">
        <w:rPr>
          <w:rFonts w:ascii="Cambria" w:eastAsia="Calibri" w:hAnsi="Cambria" w:cs="Arial"/>
          <w:bCs/>
          <w:sz w:val="18"/>
          <w:szCs w:val="18"/>
          <w:lang w:eastAsia="zh-CN" w:bidi="ar"/>
        </w:rPr>
        <w:t>: Schematische Darstellung von Durchführung 2. Reagenzglas kann mit einer Reagenzglasklammer gehalten oder zur besseren Übersichtlichkeit in einem Stativ eingespannt werden.</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Beobachtung 2:</w:t>
      </w:r>
      <w:r w:rsidRPr="004665CB">
        <w:rPr>
          <w:rFonts w:eastAsia="Calibri" w:cs="Arial"/>
          <w:color w:val="1D1B11"/>
          <w:lang w:eastAsia="zh-CN" w:bidi="ar"/>
        </w:rPr>
        <w:tab/>
      </w:r>
      <w:r w:rsidRPr="004665CB">
        <w:rPr>
          <w:rFonts w:eastAsia="Calibri" w:cs="Arial"/>
          <w:color w:val="1D1B11"/>
          <w:lang w:eastAsia="zh-CN" w:bidi="ar"/>
        </w:rPr>
        <w:tab/>
        <w:t>Der zunächst schlaff herunterhängende Luftballon richtet sich auf, wenn das Wasser zu sieden beginnt</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Deutung 2:</w:t>
      </w:r>
      <w:r w:rsidRPr="004665CB">
        <w:rPr>
          <w:rFonts w:eastAsia="Calibri" w:cs="Arial"/>
          <w:color w:val="1D1B11"/>
          <w:lang w:eastAsia="zh-CN" w:bidi="ar"/>
        </w:rPr>
        <w:tab/>
      </w:r>
      <w:r w:rsidRPr="004665CB">
        <w:rPr>
          <w:rFonts w:eastAsia="Calibri" w:cs="Arial"/>
          <w:color w:val="1D1B11"/>
          <w:lang w:eastAsia="zh-CN" w:bidi="ar"/>
        </w:rPr>
        <w:tab/>
        <w:t>Im gasförmigen Zustand ist der Abstand zwischen den Wasserteilchen sehr groß, sodass Wasserdampf ein größeres Volumen hat als flüssiges Wasser.</w:t>
      </w:r>
    </w:p>
    <w:p w:rsidR="00064C8B" w:rsidRPr="004665CB" w:rsidRDefault="00064C8B" w:rsidP="00064C8B">
      <w:pPr>
        <w:spacing w:line="276" w:lineRule="auto"/>
        <w:jc w:val="left"/>
      </w:pPr>
      <w:r w:rsidRPr="004665CB">
        <w:rPr>
          <w:rFonts w:eastAsia="Calibri" w:cs="Arial"/>
          <w:color w:val="1D1B11"/>
          <w:lang w:eastAsia="zh-CN" w:bidi="ar"/>
        </w:rPr>
        <w:t>Entsorgung:</w:t>
      </w:r>
      <w:r w:rsidRPr="004665CB">
        <w:rPr>
          <w:rFonts w:eastAsia="Calibri" w:cs="Arial"/>
          <w:color w:val="1D1B11"/>
          <w:lang w:eastAsia="zh-CN" w:bidi="ar"/>
        </w:rPr>
        <w:tab/>
        <w:t xml:space="preserve">           Die Entsorgung erfolgt über den Abfluss.</w:t>
      </w:r>
    </w:p>
    <w:p w:rsidR="00064C8B" w:rsidRPr="004665CB" w:rsidRDefault="00064C8B" w:rsidP="00064C8B">
      <w:pPr>
        <w:tabs>
          <w:tab w:val="left" w:pos="1702"/>
          <w:tab w:val="left" w:pos="1980"/>
        </w:tabs>
        <w:ind w:left="1980" w:hanging="1980"/>
      </w:pPr>
      <w:r w:rsidRPr="004665CB">
        <w:rPr>
          <w:rFonts w:eastAsia="Calibri" w:cs="Arial"/>
          <w:color w:val="1D1B11"/>
          <w:lang w:eastAsia="zh-CN" w:bidi="ar"/>
        </w:rPr>
        <w:t>Literatur:</w:t>
      </w:r>
      <w:r w:rsidRPr="004665CB">
        <w:rPr>
          <w:rFonts w:eastAsia="Calibri" w:cs="Arial"/>
          <w:color w:val="1D1B11"/>
          <w:lang w:eastAsia="zh-CN" w:bidi="ar"/>
        </w:rPr>
        <w:tab/>
      </w:r>
      <w:r w:rsidRPr="004665CB">
        <w:rPr>
          <w:rFonts w:eastAsia="Calibri" w:cs="Arial"/>
          <w:color w:val="1D1B11"/>
          <w:lang w:eastAsia="zh-CN" w:bidi="ar"/>
        </w:rPr>
        <w:tab/>
      </w:r>
      <w:r w:rsidRPr="004665CB">
        <w:rPr>
          <w:rFonts w:eastAsia="Calibri" w:cs="Arial"/>
          <w:color w:val="auto"/>
          <w:lang w:eastAsia="zh-CN" w:bidi="ar"/>
        </w:rPr>
        <w:t xml:space="preserve">G. Lück: </w:t>
      </w:r>
      <w:r w:rsidRPr="004665CB">
        <w:rPr>
          <w:rFonts w:eastAsia="Calibri" w:cs="Arial"/>
          <w:i/>
          <w:color w:val="auto"/>
          <w:lang w:eastAsia="zh-CN" w:bidi="ar"/>
        </w:rPr>
        <w:t>Leichte Experimente für Eltern und Kinder</w:t>
      </w:r>
      <w:r w:rsidRPr="004665CB">
        <w:rPr>
          <w:rFonts w:eastAsia="Calibri" w:cs="Arial"/>
          <w:color w:val="auto"/>
          <w:lang w:eastAsia="zh-CN" w:bidi="ar"/>
        </w:rPr>
        <w:t xml:space="preserve">, Überarbeitete Neuauflage, Herder Verlag, S. 51 ff., </w:t>
      </w:r>
      <w:r w:rsidRPr="004665CB">
        <w:rPr>
          <w:rFonts w:eastAsia="Calibri" w:cs="Arial"/>
          <w:b/>
          <w:color w:val="auto"/>
          <w:lang w:eastAsia="zh-CN" w:bidi="ar"/>
        </w:rPr>
        <w:t>2008</w:t>
      </w:r>
      <w:r w:rsidRPr="004665CB">
        <w:rPr>
          <w:rFonts w:eastAsia="Calibri" w:cs="Arial"/>
          <w:color w:val="auto"/>
          <w:lang w:eastAsia="zh-CN" w:bidi="ar"/>
        </w:rPr>
        <w:t>.</w:t>
      </w:r>
    </w:p>
    <w:p w:rsidR="00064C8B" w:rsidRPr="004665CB" w:rsidRDefault="00064C8B" w:rsidP="00064C8B">
      <w:pPr>
        <w:tabs>
          <w:tab w:val="left" w:pos="1702"/>
          <w:tab w:val="left" w:pos="1980"/>
        </w:tabs>
        <w:ind w:left="1980" w:hanging="1980"/>
      </w:pPr>
      <w:r w:rsidRPr="004665CB">
        <w:rPr>
          <w:rFonts w:eastAsia="Calibri" w:cs="Arial"/>
          <w:noProof/>
          <w:color w:val="1D1B11"/>
          <w:lang w:eastAsia="de-DE"/>
        </w:rPr>
        <mc:AlternateContent>
          <mc:Choice Requires="wps">
            <w:drawing>
              <wp:inline distT="0" distB="0" distL="114300" distR="114300" wp14:anchorId="5A753BDF" wp14:editId="5E86B62C">
                <wp:extent cx="5760720" cy="2522220"/>
                <wp:effectExtent l="6350" t="6350" r="8890" b="16510"/>
                <wp:docPr id="52" name="Textfeld 52"/>
                <wp:cNvGraphicFramePr/>
                <a:graphic xmlns:a="http://schemas.openxmlformats.org/drawingml/2006/main">
                  <a:graphicData uri="http://schemas.microsoft.com/office/word/2010/wordprocessingShape">
                    <wps:wsp>
                      <wps:cNvSpPr txBox="1"/>
                      <wps:spPr>
                        <a:xfrm>
                          <a:off x="0" y="0"/>
                          <a:ext cx="5760720" cy="2522220"/>
                        </a:xfrm>
                        <a:prstGeom prst="rect">
                          <a:avLst/>
                        </a:prstGeom>
                        <a:solidFill>
                          <a:srgbClr val="FFFFFF"/>
                        </a:solidFill>
                        <a:ln w="12700" cap="flat" cmpd="sng">
                          <a:solidFill>
                            <a:srgbClr val="C0504D"/>
                          </a:solidFill>
                          <a:prstDash val="dash"/>
                          <a:miter/>
                          <a:headEnd type="none" w="med" len="med"/>
                          <a:tailEnd type="none" w="med" len="med"/>
                        </a:ln>
                      </wps:spPr>
                      <wps:txbx>
                        <w:txbxContent>
                          <w:p w:rsidR="00064C8B" w:rsidRPr="004665CB" w:rsidRDefault="00064C8B" w:rsidP="00064C8B">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 xml:space="preserve">Anschließend an diesen Versuch bietet es sich an, das Schmelzen und Verdampfen anderer Stoffe zu besprechen. Es sollte dabei </w:t>
                            </w:r>
                            <w:proofErr w:type="gramStart"/>
                            <w:r w:rsidRPr="004665CB">
                              <w:rPr>
                                <w:rFonts w:eastAsia="Calibri" w:cs="Arial"/>
                                <w:color w:val="auto"/>
                                <w:lang w:eastAsia="zh-CN" w:bidi="ar"/>
                              </w:rPr>
                              <w:t>klar werden</w:t>
                            </w:r>
                            <w:proofErr w:type="gramEnd"/>
                            <w:r w:rsidRPr="004665CB">
                              <w:rPr>
                                <w:rFonts w:eastAsia="Calibri" w:cs="Arial"/>
                                <w:color w:val="auto"/>
                                <w:lang w:eastAsia="zh-CN" w:bidi="ar"/>
                              </w:rPr>
                              <w:t>, das die Volumenzunahme bei Verdampfen dem allgemeinen Trend folgt, während die Volumenabnahme beim Auftauen eine spezifische Stoffeigenschaft des Wassers ist.</w:t>
                            </w:r>
                          </w:p>
                          <w:p w:rsidR="00064C8B" w:rsidRPr="004665CB" w:rsidRDefault="00064C8B" w:rsidP="00064C8B">
                            <w:pPr>
                              <w:rPr>
                                <w:color w:val="auto"/>
                              </w:rPr>
                            </w:pPr>
                            <w:r w:rsidRPr="004665CB">
                              <w:rPr>
                                <w:rFonts w:eastAsia="Calibri" w:cs="Arial"/>
                                <w:color w:val="auto"/>
                                <w:lang w:eastAsia="zh-CN" w:bidi="ar"/>
                              </w:rPr>
                              <w:t>Dieser Versuch kann alternativ auch als Schülerversuch durchgeführt werden. In diesem Fall bietet es sich an, die Ergebnisse mehrerer Gruppen zu Vergleichen. Für die Durchführung dieses Versuches wurden im Rahmen dieses Versuches weiße Plastikbecher verwendet. Mit durchsichtigen Bechern könnte wahrscheinlich eine noch größere Anschaulichkeit erreicht werden.</w:t>
                            </w:r>
                          </w:p>
                        </w:txbxContent>
                      </wps:txbx>
                      <wps:bodyPr vert="horz" wrap="square" anchor="t" upright="1"/>
                    </wps:wsp>
                  </a:graphicData>
                </a:graphic>
              </wp:inline>
            </w:drawing>
          </mc:Choice>
          <mc:Fallback>
            <w:pict>
              <v:shape w14:anchorId="5A753BDF" id="Textfeld 52" o:spid="_x0000_s1027" type="#_x0000_t202" style="width:453.6pt;height:1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" strokecolor="#c0504d" strokeweight="1pt">
                <v:stroke dashstyle="dash"/>
                <v:textbox>
                  <w:txbxContent>
                    <w:p w:rsidR="00064C8B" w:rsidRPr="004665CB" w:rsidRDefault="00064C8B" w:rsidP="00064C8B">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 xml:space="preserve">Anschließend an diesen Versuch bietet es sich an, das Schmelzen und Verdampfen anderer Stoffe zu besprechen. Es sollte dabei </w:t>
                      </w:r>
                      <w:proofErr w:type="gramStart"/>
                      <w:r w:rsidRPr="004665CB">
                        <w:rPr>
                          <w:rFonts w:eastAsia="Calibri" w:cs="Arial"/>
                          <w:color w:val="auto"/>
                          <w:lang w:eastAsia="zh-CN" w:bidi="ar"/>
                        </w:rPr>
                        <w:t>klar werden</w:t>
                      </w:r>
                      <w:proofErr w:type="gramEnd"/>
                      <w:r w:rsidRPr="004665CB">
                        <w:rPr>
                          <w:rFonts w:eastAsia="Calibri" w:cs="Arial"/>
                          <w:color w:val="auto"/>
                          <w:lang w:eastAsia="zh-CN" w:bidi="ar"/>
                        </w:rPr>
                        <w:t>, das die Volumenzunahme bei Verdampfen dem allgemeinen Trend folgt, während die Volumenabnahme beim Auftauen eine spezifische Stoffeigenschaft des Wassers ist.</w:t>
                      </w:r>
                    </w:p>
                    <w:p w:rsidR="00064C8B" w:rsidRPr="004665CB" w:rsidRDefault="00064C8B" w:rsidP="00064C8B">
                      <w:pPr>
                        <w:rPr>
                          <w:color w:val="auto"/>
                        </w:rPr>
                      </w:pPr>
                      <w:r w:rsidRPr="004665CB">
                        <w:rPr>
                          <w:rFonts w:eastAsia="Calibri" w:cs="Arial"/>
                          <w:color w:val="auto"/>
                          <w:lang w:eastAsia="zh-CN" w:bidi="ar"/>
                        </w:rPr>
                        <w:t>Dieser Versuch kann alternativ auch als Schülerversuch durchgeführt werden. In diesem Fall bietet es sich an, die Ergebnisse mehrerer Gruppen zu Vergleichen. Für die Durchführung dieses Versuches wurden im Rahmen dieses Versuches weiße Plastikbecher verwendet. Mit durchsichtigen Bechern könnte wahrscheinlich eine noch größere Anschaulichkeit erreicht werden.</w:t>
                      </w:r>
                    </w:p>
                  </w:txbxContent>
                </v:textbox>
                <w10:anchorlock/>
              </v:shape>
            </w:pict>
          </mc:Fallback>
        </mc:AlternateContent>
      </w: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tentative="1">
      <w:start w:val="1"/>
      <w:numFmt w:val="decimal"/>
      <w:lvlText w:val="%1"/>
      <w:lvlJc w:val="left"/>
      <w:pPr>
        <w:ind w:left="432" w:hanging="432"/>
      </w:pPr>
      <w:rPr>
        <w:rFonts w:hint="default"/>
      </w:rPr>
    </w:lvl>
    <w:lvl w:ilvl="1" w:tentative="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7974C92"/>
    <w:multiLevelType w:val="multilevel"/>
    <w:tmpl w:val="57974C92"/>
    <w:lvl w:ilvl="0">
      <w:start w:val="1"/>
      <w:numFmt w:val="decimal"/>
      <w:lvlText w:val="%1"/>
      <w:lvlJc w:val="left"/>
      <w:pPr>
        <w:ind w:left="700" w:hanging="420"/>
      </w:pPr>
    </w:lvl>
    <w:lvl w:ilvl="1">
      <w:start w:val="1"/>
      <w:numFmt w:val="decimal"/>
      <w:lvlText w:val="%1.%2"/>
      <w:lvlJc w:val="left"/>
      <w:pPr>
        <w:ind w:left="560" w:hanging="560"/>
      </w:pPr>
      <w:rPr>
        <w:lang w:val="de"/>
      </w:rPr>
    </w:lvl>
    <w:lvl w:ilvl="2" w:tentative="1">
      <w:start w:val="1"/>
      <w:numFmt w:val="decimal"/>
      <w:lvlText w:val="%1.%2.%3"/>
      <w:lvlJc w:val="left"/>
      <w:pPr>
        <w:ind w:left="720" w:hanging="720"/>
      </w:pPr>
    </w:lvl>
    <w:lvl w:ilvl="3" w:tentative="1">
      <w:start w:val="1"/>
      <w:numFmt w:val="decimal"/>
      <w:lvlText w:val="%1.%2.%3.%4"/>
      <w:lvlJc w:val="left"/>
      <w:pPr>
        <w:ind w:left="860" w:hanging="860"/>
      </w:pPr>
    </w:lvl>
    <w:lvl w:ilvl="4" w:tentative="1">
      <w:start w:val="1"/>
      <w:numFmt w:val="decimal"/>
      <w:lvlText w:val="%1.%2.%3.%4.%5"/>
      <w:lvlJc w:val="left"/>
      <w:pPr>
        <w:ind w:left="1000" w:hanging="1000"/>
      </w:pPr>
    </w:lvl>
    <w:lvl w:ilvl="5" w:tentative="1">
      <w:start w:val="1"/>
      <w:numFmt w:val="decimal"/>
      <w:lvlText w:val="%1.%2.%3.%4.%5.%6"/>
      <w:lvlJc w:val="left"/>
      <w:pPr>
        <w:ind w:left="1140" w:hanging="1140"/>
      </w:pPr>
    </w:lvl>
    <w:lvl w:ilvl="6" w:tentative="1">
      <w:start w:val="1"/>
      <w:numFmt w:val="decimal"/>
      <w:lvlText w:val="%1.%2.%3.%4.%5.%6.%7"/>
      <w:lvlJc w:val="left"/>
      <w:pPr>
        <w:ind w:left="1280" w:hanging="1280"/>
      </w:pPr>
    </w:lvl>
    <w:lvl w:ilvl="7" w:tentative="1">
      <w:start w:val="1"/>
      <w:numFmt w:val="decimal"/>
      <w:lvlText w:val="%1.%2.%3.%4.%5.%6.%7.%8"/>
      <w:lvlJc w:val="left"/>
      <w:pPr>
        <w:ind w:left="1440" w:hanging="1440"/>
      </w:pPr>
    </w:lvl>
    <w:lvl w:ilvl="8" w:tentative="1">
      <w:start w:val="1"/>
      <w:numFmt w:val="decimal"/>
      <w:lvlText w:val="%1.%2.%3.%4.%5.%6.%7.%8.%9"/>
      <w:lvlJc w:val="left"/>
      <w:pPr>
        <w:ind w:left="1580" w:hanging="15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8B"/>
    <w:rsid w:val="00040EAF"/>
    <w:rsid w:val="00064C8B"/>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B5B63-A251-444D-8716-F10A3930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64C8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paragraph" w:styleId="StandardWeb">
    <w:name w:val="Normal (Web)"/>
    <w:basedOn w:val="Standard"/>
    <w:uiPriority w:val="99"/>
    <w:unhideWhenUsed/>
    <w:qFormat/>
    <w:rsid w:val="00064C8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HRIST~1\AppData\Local\Temp\msohtmlclip1\01\clip_image005.jpg" TargetMode="External"/><Relationship Id="rId13" Type="http://schemas.openxmlformats.org/officeDocument/2006/relationships/image" Target="media/image5.jpg"/><Relationship Id="rId18" Type="http://schemas.openxmlformats.org/officeDocument/2006/relationships/image" Target="file:///C:\Users\CHRIST~1\AppData\Local\Temp\msohtmlclip1\01\clip_image010.jpg" TargetMode="External"/><Relationship Id="rId26" Type="http://schemas.openxmlformats.org/officeDocument/2006/relationships/image" Target="file:///C:\Users\CHRIST~1\AppData\Local\Temp\msohtmlclip1\01\clip_image015.png" TargetMode="Externa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2.jpg"/><Relationship Id="rId12" Type="http://schemas.openxmlformats.org/officeDocument/2006/relationships/image" Target="file:///C:\Users\CHRIST~1\AppData\Local\Temp\msohtmlclip1\01\clip_image007.jpg" TargetMode="External"/><Relationship Id="rId17" Type="http://schemas.openxmlformats.org/officeDocument/2006/relationships/image" Target="media/image7.jp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file:///C:\Users\CHRIST~1\AppData\Local\Temp\msohtmlclip1\01\clip_image009.jpg" TargetMode="External"/><Relationship Id="rId20" Type="http://schemas.openxmlformats.org/officeDocument/2006/relationships/image" Target="file:///C:\Users\CHRIST~1\AppData\Local\Temp\msohtmlclip1\01\clip_image011.png" TargetMode="External"/><Relationship Id="rId1" Type="http://schemas.openxmlformats.org/officeDocument/2006/relationships/numbering" Target="numbering.xml"/><Relationship Id="rId6" Type="http://schemas.openxmlformats.org/officeDocument/2006/relationships/image" Target="file:///C:\Users\CHRIST~1\AppData\Local\Temp\msohtmlclip1\01\clip_image004.png" TargetMode="External"/><Relationship Id="rId11" Type="http://schemas.openxmlformats.org/officeDocument/2006/relationships/image" Target="media/image4.jpg"/><Relationship Id="rId24" Type="http://schemas.openxmlformats.org/officeDocument/2006/relationships/image" Target="file:///C:\Users\CHRIST~1\AppData\Local\Temp\msohtmlclip1\01\clip_image014.jpg" TargetMode="External"/><Relationship Id="rId5" Type="http://schemas.openxmlformats.org/officeDocument/2006/relationships/image" Target="media/image1.png"/><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theme" Target="theme/theme1.xml"/><Relationship Id="rId10" Type="http://schemas.openxmlformats.org/officeDocument/2006/relationships/image" Target="file:///C:\Users\CHRIST~1\AppData\Local\Temp\msohtmlclip1\01\clip_image006.jp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file:///C:\Users\CHRIST~1\AppData\Local\Temp\msohtmlclip1\01\clip_image008.jpg" TargetMode="External"/><Relationship Id="rId22" Type="http://schemas.openxmlformats.org/officeDocument/2006/relationships/image" Target="file:///C:\Users\CHRIST~1\AppData\Local\Temp\msohtmlclip1\01\clip_image012.jpg"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1713</Characters>
  <Application>Microsoft Office Word</Application>
  <DocSecurity>0</DocSecurity>
  <Lines>14</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/V2 – Volumenänderung von Eis beim Erwärmen</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cp:lastPrinted>2016-08-10T09:46:00Z</cp:lastPrinted>
  <dcterms:created xsi:type="dcterms:W3CDTF">2016-08-09T12:49:00Z</dcterms:created>
  <dcterms:modified xsi:type="dcterms:W3CDTF">2016-08-10T09:46:00Z</dcterms:modified>
</cp:coreProperties>
</file>