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3D" w:rsidRDefault="00A5223D" w:rsidP="00A5223D">
      <w:pPr>
        <w:pStyle w:val="berschrift1"/>
      </w:pPr>
      <w:r>
        <w:t>V</w:t>
      </w:r>
      <w:bookmarkStart w:id="0" w:name="_GoBack"/>
      <w:bookmarkEnd w:id="0"/>
      <w:r>
        <w:t>1 – Ein Kochtopf aus Papier</w:t>
      </w:r>
    </w:p>
    <w:p w:rsidR="00A5223D" w:rsidRDefault="00A5223D" w:rsidP="00A5223D">
      <w:r>
        <w:t>Dieser Versuch zeigt die SuS deutlich, dass das Papier nicht immer verbrennt. Für die Verbre</w:t>
      </w:r>
      <w:r>
        <w:t>n</w:t>
      </w:r>
      <w:r>
        <w:t xml:space="preserve">nung des Papiers ist eine Temperatur von ca. 200 °C notwendig. </w:t>
      </w:r>
    </w:p>
    <w:p w:rsidR="00A5223D" w:rsidRDefault="00A5223D" w:rsidP="00A5223D">
      <w:pPr>
        <w:ind w:left="1620" w:hanging="1620"/>
      </w:pPr>
      <w:r>
        <w:t>Materialien:</w:t>
      </w:r>
      <w:r>
        <w:tab/>
        <w:t>1 Teelicht, eine kleine Schachtel, ein Stövchen</w:t>
      </w:r>
    </w:p>
    <w:p w:rsidR="00A5223D" w:rsidRDefault="00A5223D" w:rsidP="00A5223D">
      <w:pPr>
        <w:ind w:left="1620" w:hanging="1620"/>
      </w:pPr>
      <w:r>
        <w:t>Chemikalien:</w:t>
      </w:r>
      <w:r>
        <w:tab/>
        <w:t>Wasser</w:t>
      </w:r>
    </w:p>
    <w:p w:rsidR="00A5223D" w:rsidRDefault="00A5223D" w:rsidP="00A5223D">
      <w:pPr>
        <w:spacing w:after="0"/>
        <w:ind w:left="1620" w:hanging="1620"/>
      </w:pPr>
      <w:r>
        <w:t xml:space="preserve">Durchführung: </w:t>
      </w:r>
      <w:r>
        <w:tab/>
        <w:t xml:space="preserve">Eine Schachtel wird mit Wasser </w:t>
      </w:r>
      <w:proofErr w:type="spellStart"/>
      <w:r>
        <w:t>gefült</w:t>
      </w:r>
      <w:proofErr w:type="spellEnd"/>
      <w:r>
        <w:t xml:space="preserve"> und auf dem Stövchen gestellt. Dann wird das Teelicht angezündet und in dem Stövchen platziert. Das Wasser wird erhitzt, bis ein paar Dampfbläschen entstanden werden. </w:t>
      </w:r>
      <w:r>
        <w:rPr>
          <w:b/>
        </w:rPr>
        <w:t xml:space="preserve">Achtung: </w:t>
      </w:r>
      <w:r>
        <w:t xml:space="preserve">nicht zu viel Wasser in die Schachtel gießen, sonst dauert der Versuch zu lange. </w:t>
      </w:r>
    </w:p>
    <w:p w:rsidR="00A5223D" w:rsidRDefault="00A5223D" w:rsidP="00A5223D">
      <w:pPr>
        <w:spacing w:after="0"/>
        <w:ind w:left="1620" w:hanging="1620"/>
      </w:pPr>
      <w:r>
        <w:t xml:space="preserve">Beobachtung: </w:t>
      </w:r>
      <w:r>
        <w:tab/>
        <w:t xml:space="preserve">Die Schachtel mit Wasser verbrennt nicht. Nach einigen Minuten bilden sich ein </w:t>
      </w:r>
    </w:p>
    <w:p w:rsidR="00A5223D" w:rsidRDefault="00A5223D" w:rsidP="00A5223D">
      <w:pPr>
        <w:spacing w:after="0"/>
        <w:ind w:left="1620"/>
      </w:pPr>
      <w:r>
        <w:t>paar Dampfbläschen.</w:t>
      </w:r>
    </w:p>
    <w:p w:rsidR="00A5223D" w:rsidRDefault="00A5223D" w:rsidP="00A5223D">
      <w:pPr>
        <w:spacing w:after="0"/>
        <w:ind w:left="1620" w:hanging="1620"/>
      </w:pPr>
      <w:r>
        <w:t xml:space="preserve">Deutung: </w:t>
      </w:r>
      <w:r>
        <w:tab/>
        <w:t>Das Papier verbrennt nicht, weil das Wasser in Kontakt mit dem Papier die Hitze absorbiert. Eine mögliche Formulierung für die SuS wäre, dass das Wa</w:t>
      </w:r>
      <w:r>
        <w:t>s</w:t>
      </w:r>
      <w:r>
        <w:t xml:space="preserve">ser das Papier abkühlt. </w:t>
      </w:r>
    </w:p>
    <w:p w:rsidR="00A5223D" w:rsidRDefault="00A5223D" w:rsidP="00A5223D">
      <w:pPr>
        <w:ind w:left="1416" w:hanging="1416"/>
      </w:pPr>
      <w:r>
        <w:t xml:space="preserve">Literatur: </w:t>
      </w:r>
      <w:r>
        <w:tab/>
        <w:t xml:space="preserve">Hecker, J. (2010). </w:t>
      </w:r>
      <w:r>
        <w:rPr>
          <w:i/>
        </w:rPr>
        <w:t>Der Kinder Brockhaus. Experimente. Den Naturwissenschaften auf der Spur.</w:t>
      </w:r>
      <w:r>
        <w:t xml:space="preserve"> Gütersloh/München</w:t>
      </w:r>
    </w:p>
    <w:p w:rsidR="00A5223D" w:rsidRDefault="00A5223D" w:rsidP="00A5223D">
      <w:pPr>
        <w:spacing w:after="0"/>
      </w:pPr>
      <w:r>
        <w:t>Aus dem Alltag kennen die SuS, dass das Papier sehr schnell verbrennt. Dieser Versuch ist ein gutes Gegenbeispiel zu diesem Grundwissen von SuS. Der Versuch zeigt, dass für die Brennba</w:t>
      </w:r>
      <w:r>
        <w:t>r</w:t>
      </w:r>
      <w:r>
        <w:t xml:space="preserve">keit des Papiers eine bestimmte Bedingungen notwendig, nämlich höhere Temperatur. </w:t>
      </w:r>
    </w:p>
    <w:p w:rsidR="00A5223D" w:rsidRDefault="00A5223D" w:rsidP="00A5223D">
      <w:pPr>
        <w:spacing w:after="0"/>
      </w:pPr>
    </w:p>
    <w:p w:rsidR="00A5223D" w:rsidRDefault="00A5223D" w:rsidP="00A5223D">
      <w:pPr>
        <w:keepNext/>
        <w:spacing w:after="0"/>
        <w:jc w:val="center"/>
        <w:rPr>
          <w:rFonts w:eastAsia="Cambria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3950970" cy="2993390"/>
            <wp:effectExtent l="19050" t="19050" r="11430" b="165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99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223D" w:rsidRDefault="00A5223D" w:rsidP="00A5223D">
      <w:pPr>
        <w:pStyle w:val="Beschriftung"/>
        <w:rPr>
          <w:rFonts w:eastAsia="Times New Roman"/>
          <w:sz w:val="22"/>
          <w:szCs w:val="22"/>
        </w:rPr>
      </w:pPr>
      <w:r>
        <w:rPr>
          <w:rFonts w:eastAsia="Cambria"/>
          <w:b w:val="0"/>
        </w:rPr>
        <w:t xml:space="preserve">                            </w:t>
      </w:r>
      <w:r>
        <w:rPr>
          <w:b w:val="0"/>
        </w:rPr>
        <w:t xml:space="preserve">Abbildung </w:t>
      </w:r>
      <w:r>
        <w:rPr>
          <w:b w:val="0"/>
        </w:rPr>
        <w:fldChar w:fldCharType="begin"/>
      </w:r>
      <w:r>
        <w:rPr>
          <w:b w:val="0"/>
        </w:rPr>
        <w:instrText xml:space="preserve"> SEQ "Abbildung" \*Arabic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 xml:space="preserve"> - Ein Kochtopf aus Papier</w:t>
      </w:r>
    </w:p>
    <w:p w:rsidR="00BE6DD9" w:rsidRPr="00A5223D" w:rsidRDefault="00BE6DD9" w:rsidP="00A5223D"/>
    <w:sectPr w:rsidR="00BE6DD9" w:rsidRPr="00A5223D" w:rsidSect="00105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48" w:rsidRDefault="002F0748" w:rsidP="009524CC">
      <w:pPr>
        <w:spacing w:after="0"/>
      </w:pPr>
      <w:r>
        <w:separator/>
      </w:r>
    </w:p>
  </w:endnote>
  <w:endnote w:type="continuationSeparator" w:id="0">
    <w:p w:rsidR="002F0748" w:rsidRDefault="002F0748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48" w:rsidRDefault="002F0748" w:rsidP="009524CC">
      <w:pPr>
        <w:spacing w:after="0"/>
      </w:pPr>
      <w:r>
        <w:separator/>
      </w:r>
    </w:p>
  </w:footnote>
  <w:footnote w:type="continuationSeparator" w:id="0">
    <w:p w:rsidR="002F0748" w:rsidRDefault="002F0748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A5223D" w:rsidRPr="00A5223D">
            <w:rPr>
              <w:b/>
              <w:bCs/>
              <w:noProof/>
              <w:sz w:val="20"/>
              <w:szCs w:val="20"/>
            </w:rPr>
            <w:t>V1 – Ein Kochtopf aus Papier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A5223D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0748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23D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FCBE-8F3A-4A43-91F9-1C437009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2013-07-08T13:43:00Z</dcterms:created>
  <dcterms:modified xsi:type="dcterms:W3CDTF">2013-07-08T13:43:00Z</dcterms:modified>
</cp:coreProperties>
</file>