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F6" w:rsidRDefault="002F633A">
      <w:pPr>
        <w:pStyle w:val="berschrift2"/>
      </w:pPr>
      <w:bookmarkStart w:id="0" w:name="_Toc457194805"/>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400050</wp:posOffset>
                </wp:positionV>
                <wp:extent cx="5873118" cy="1028700"/>
                <wp:effectExtent l="0" t="0" r="13332" b="19050"/>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028700"/>
                        </a:xfrm>
                        <a:prstGeom prst="rect">
                          <a:avLst/>
                        </a:prstGeom>
                        <a:solidFill>
                          <a:srgbClr val="FFFFFF"/>
                        </a:solidFill>
                        <a:ln w="12701">
                          <a:solidFill>
                            <a:srgbClr val="4472C4"/>
                          </a:solidFill>
                          <a:prstDash val="dash"/>
                        </a:ln>
                      </wps:spPr>
                      <wps:txbx>
                        <w:txbxContent>
                          <w:p w:rsidR="001259F6" w:rsidRDefault="002F633A">
                            <w:pPr>
                              <w:rPr>
                                <w:color w:val="auto"/>
                              </w:rPr>
                            </w:pPr>
                            <w:r>
                              <w:rPr>
                                <w:color w:val="auto"/>
                              </w:rPr>
                              <w:t xml:space="preserve">Dass im Blatt unterschiedliche Farbstoffe vorhanden sind, kann anhand der chromatographischen Auftrennung der Blattfarbstoffe gezeigt werden. Mit dem Experiment kann nachgewiesen </w:t>
                            </w:r>
                            <w:r>
                              <w:rPr>
                                <w:color w:val="auto"/>
                              </w:rPr>
                              <w:t xml:space="preserve">werden, dass die gelben und roten Farbstoffe in den Blättern nicht erst im Herbst gebildet werden, sondern von Anfang an im Blatt enthalten sind.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1.5pt;width:462.45pt;height:81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" strokecolor="#4472c4" strokeweight=".35281mm">
                <v:stroke dashstyle="dash"/>
                <v:textbox>
                  <w:txbxContent>
                    <w:p w:rsidR="001259F6" w:rsidRDefault="002F633A">
                      <w:pPr>
                        <w:rPr>
                          <w:color w:val="auto"/>
                        </w:rPr>
                      </w:pPr>
                      <w:r>
                        <w:rPr>
                          <w:color w:val="auto"/>
                        </w:rPr>
                        <w:t xml:space="preserve">Dass im Blatt unterschiedliche Farbstoffe vorhanden sind, kann anhand der chromatographischen Auftrennung der Blattfarbstoffe gezeigt werden. Mit dem Experiment kann nachgewiesen </w:t>
                      </w:r>
                      <w:r>
                        <w:rPr>
                          <w:color w:val="auto"/>
                        </w:rPr>
                        <w:t xml:space="preserve">werden, dass die gelben und roten Farbstoffe in den Blättern nicht erst im Herbst gebildet werden, sondern von Anfang an im Blatt enthalten sind. </w:t>
                      </w:r>
                    </w:p>
                  </w:txbxContent>
                </v:textbox>
                <w10:wrap type="square" anchorx="margin"/>
              </v:shape>
            </w:pict>
          </mc:Fallback>
        </mc:AlternateContent>
      </w:r>
      <w:r>
        <w:t>V1 – Warum färben sich Blätter im Herbst gelb?</w:t>
      </w:r>
      <w:bookmarkEnd w:id="0"/>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1259F6">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1259F6" w:rsidRDefault="002F633A">
            <w:pPr>
              <w:spacing w:after="0"/>
              <w:jc w:val="center"/>
              <w:rPr>
                <w:b/>
                <w:bCs/>
                <w:color w:val="FFFFFF"/>
              </w:rPr>
            </w:pPr>
            <w:r>
              <w:rPr>
                <w:b/>
                <w:bCs/>
                <w:color w:val="FFFFFF"/>
              </w:rPr>
              <w:t>Gefahrenstoffe</w:t>
            </w:r>
          </w:p>
        </w:tc>
      </w:tr>
      <w:tr w:rsidR="001259F6">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line="276" w:lineRule="auto"/>
              <w:jc w:val="center"/>
              <w:rPr>
                <w:bCs/>
                <w:sz w:val="20"/>
                <w:szCs w:val="20"/>
              </w:rPr>
            </w:pPr>
            <w:r>
              <w:rPr>
                <w:bCs/>
                <w:sz w:val="20"/>
                <w:szCs w:val="20"/>
              </w:rPr>
              <w:t>Ethanol (96%ig)</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rPr>
                <w:sz w:val="20"/>
                <w:szCs w:val="20"/>
              </w:rPr>
            </w:pPr>
            <w:r>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rPr>
                <w:sz w:val="20"/>
                <w:szCs w:val="20"/>
              </w:rPr>
            </w:pPr>
            <w:r>
              <w:rPr>
                <w:sz w:val="20"/>
                <w:szCs w:val="20"/>
              </w:rPr>
              <w:t>P: 210</w:t>
            </w:r>
          </w:p>
        </w:tc>
      </w:tr>
      <w:tr w:rsidR="001259F6">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1259F6" w:rsidRDefault="002F633A">
            <w:pPr>
              <w:spacing w:after="0" w:line="276" w:lineRule="auto"/>
              <w:jc w:val="center"/>
            </w:pPr>
            <w:r>
              <w:rPr>
                <w:color w:val="auto"/>
                <w:sz w:val="20"/>
                <w:szCs w:val="20"/>
              </w:rPr>
              <w:t>Petroleumbenzin</w:t>
            </w:r>
          </w:p>
        </w:tc>
        <w:tc>
          <w:tcPr>
            <w:tcW w:w="3177" w:type="dxa"/>
            <w:gridSpan w:val="3"/>
            <w:shd w:val="clear" w:color="auto" w:fill="auto"/>
            <w:tcMar>
              <w:top w:w="0" w:type="dxa"/>
              <w:left w:w="108" w:type="dxa"/>
              <w:bottom w:w="0" w:type="dxa"/>
              <w:right w:w="108" w:type="dxa"/>
            </w:tcMar>
            <w:vAlign w:val="center"/>
          </w:tcPr>
          <w:p w:rsidR="001259F6" w:rsidRDefault="002F633A">
            <w:pPr>
              <w:pStyle w:val="Beschriftung"/>
              <w:spacing w:after="0"/>
              <w:jc w:val="center"/>
              <w:rPr>
                <w:sz w:val="20"/>
                <w:szCs w:val="20"/>
              </w:rPr>
            </w:pPr>
            <w:r>
              <w:rPr>
                <w:sz w:val="20"/>
                <w:szCs w:val="20"/>
              </w:rPr>
              <w:t>H: 225, 304, 411</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1259F6" w:rsidRDefault="002F633A">
            <w:pPr>
              <w:pStyle w:val="Beschriftung"/>
              <w:spacing w:after="0"/>
              <w:jc w:val="center"/>
              <w:rPr>
                <w:sz w:val="20"/>
                <w:szCs w:val="20"/>
              </w:rPr>
            </w:pPr>
            <w:r>
              <w:rPr>
                <w:sz w:val="20"/>
                <w:szCs w:val="20"/>
              </w:rPr>
              <w:t>P: 210, 273, 301+310, 331</w:t>
            </w:r>
          </w:p>
        </w:tc>
      </w:tr>
      <w:tr w:rsidR="001259F6">
        <w:tblPrEx>
          <w:tblCellMar>
            <w:top w:w="0" w:type="dxa"/>
            <w:bottom w:w="0" w:type="dxa"/>
          </w:tblCellMar>
        </w:tblPrEx>
        <w:trPr>
          <w:trHeight w:val="434"/>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line="276" w:lineRule="auto"/>
              <w:jc w:val="center"/>
            </w:pPr>
            <w:r>
              <w:rPr>
                <w:sz w:val="20"/>
                <w:szCs w:val="20"/>
              </w:rPr>
              <w:t>Aceton</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pStyle w:val="Beschriftung"/>
              <w:spacing w:after="0"/>
              <w:jc w:val="center"/>
              <w:rPr>
                <w:sz w:val="20"/>
                <w:szCs w:val="20"/>
              </w:rPr>
            </w:pPr>
            <w:r>
              <w:rPr>
                <w:sz w:val="20"/>
                <w:szCs w:val="20"/>
              </w:rPr>
              <w:t>H: 225, 319, 336</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259F6" w:rsidRDefault="002F633A">
            <w:pPr>
              <w:pStyle w:val="Beschriftung"/>
              <w:spacing w:after="0"/>
              <w:jc w:val="center"/>
              <w:rPr>
                <w:sz w:val="20"/>
                <w:szCs w:val="20"/>
              </w:rPr>
            </w:pPr>
            <w:r>
              <w:rPr>
                <w:sz w:val="20"/>
                <w:szCs w:val="20"/>
              </w:rPr>
              <w:t>P: 210, 233, 305+351+338</w:t>
            </w:r>
          </w:p>
        </w:tc>
      </w:tr>
      <w:tr w:rsidR="001259F6">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pPr>
            <w:r>
              <w:rPr>
                <w:b/>
                <w:bCs/>
                <w:noProof/>
                <w:lang w:eastAsia="de-DE"/>
              </w:rPr>
              <w:drawing>
                <wp:inline distT="0" distB="0" distL="0" distR="0">
                  <wp:extent cx="475616" cy="475616"/>
                  <wp:effectExtent l="0" t="0" r="634" b="634"/>
                  <wp:docPr id="2"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5616" cy="47561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pPr>
            <w:r>
              <w:rPr>
                <w:noProof/>
                <w:lang w:eastAsia="de-DE"/>
              </w:rPr>
              <w:drawing>
                <wp:inline distT="0" distB="0" distL="0" distR="0">
                  <wp:extent cx="504191" cy="504191"/>
                  <wp:effectExtent l="0" t="0" r="0" b="0"/>
                  <wp:docPr id="3" name="Grafik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pPr>
            <w:r>
              <w:rPr>
                <w:noProof/>
                <w:lang w:eastAsia="de-DE"/>
              </w:rPr>
              <w:drawing>
                <wp:inline distT="0" distB="0" distL="0" distR="0">
                  <wp:extent cx="485775" cy="485775"/>
                  <wp:effectExtent l="0" t="0" r="9525" b="9525"/>
                  <wp:docPr id="4" name="Grafik 49" descr="C:\Users\Caro\AppData\Local\Temp\Temp1_Piktogramme.zip\Piktogramme\Brennba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85775" cy="485775"/>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pPr>
            <w:r>
              <w:rPr>
                <w:noProof/>
                <w:lang w:eastAsia="de-DE"/>
              </w:rPr>
              <w:drawing>
                <wp:inline distT="0" distB="0" distL="0" distR="0">
                  <wp:extent cx="504191" cy="504191"/>
                  <wp:effectExtent l="0" t="0" r="0" b="0"/>
                  <wp:docPr id="5" name="Grafik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pPr>
            <w:r>
              <w:rPr>
                <w:noProof/>
                <w:lang w:eastAsia="de-DE"/>
              </w:rPr>
              <w:drawing>
                <wp:inline distT="0" distB="0" distL="0" distR="0">
                  <wp:extent cx="504191" cy="504191"/>
                  <wp:effectExtent l="0" t="0" r="0" b="0"/>
                  <wp:docPr id="6" name="Grafik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pPr>
            <w:r>
              <w:rPr>
                <w:noProof/>
                <w:lang w:eastAsia="de-DE"/>
              </w:rPr>
              <w:drawing>
                <wp:inline distT="0" distB="0" distL="0" distR="0">
                  <wp:extent cx="514350" cy="514350"/>
                  <wp:effectExtent l="0" t="0" r="0" b="0"/>
                  <wp:docPr id="7" name="Grafik 50" descr="C:\Users\Caro\AppData\Local\Temp\Temp1_Piktogramme.zip\Piktogramme\Gesundheits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flipH="1">
                            <a:off x="0" y="0"/>
                            <a:ext cx="514350" cy="514350"/>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pPr>
            <w:r>
              <w:rPr>
                <w:noProof/>
                <w:lang w:eastAsia="de-DE"/>
              </w:rPr>
              <w:drawing>
                <wp:inline distT="0" distB="0" distL="0" distR="0">
                  <wp:extent cx="504191" cy="504191"/>
                  <wp:effectExtent l="0" t="0" r="0" b="0"/>
                  <wp:docPr id="8" name="Grafik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pPr>
            <w:r>
              <w:rPr>
                <w:noProof/>
                <w:lang w:eastAsia="de-DE"/>
              </w:rPr>
              <w:drawing>
                <wp:inline distT="0" distB="0" distL="0" distR="0">
                  <wp:extent cx="561971" cy="561971"/>
                  <wp:effectExtent l="0" t="0" r="0" b="0"/>
                  <wp:docPr id="9" name="Grafik 52" descr="C:\Users\Caro\AppData\Local\Temp\Temp1_Piktogramme.zip\Piktogramme\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flipH="1">
                            <a:off x="0" y="0"/>
                            <a:ext cx="561971" cy="561971"/>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259F6" w:rsidRDefault="002F633A">
            <w:pPr>
              <w:spacing w:after="0"/>
              <w:jc w:val="center"/>
            </w:pPr>
            <w:r>
              <w:rPr>
                <w:noProof/>
                <w:lang w:eastAsia="de-DE"/>
              </w:rPr>
              <w:drawing>
                <wp:inline distT="0" distB="0" distL="0" distR="0">
                  <wp:extent cx="542925" cy="542925"/>
                  <wp:effectExtent l="0" t="0" r="9525" b="9525"/>
                  <wp:docPr id="10" name="Grafik 51" descr="C:\Users\Caro\AppData\Local\Microsoft\Windows\INetCache\Content.Word\Umwelt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flipH="1">
                            <a:off x="0" y="0"/>
                            <a:ext cx="542925" cy="542925"/>
                          </a:xfrm>
                          <a:prstGeom prst="rect">
                            <a:avLst/>
                          </a:prstGeom>
                          <a:noFill/>
                          <a:ln>
                            <a:noFill/>
                            <a:prstDash/>
                          </a:ln>
                        </pic:spPr>
                      </pic:pic>
                    </a:graphicData>
                  </a:graphic>
                </wp:inline>
              </w:drawing>
            </w:r>
          </w:p>
        </w:tc>
      </w:tr>
    </w:tbl>
    <w:p w:rsidR="001259F6" w:rsidRDefault="001259F6">
      <w:pPr>
        <w:tabs>
          <w:tab w:val="left" w:pos="1701"/>
          <w:tab w:val="left" w:pos="1985"/>
        </w:tabs>
        <w:ind w:left="1980" w:hanging="1980"/>
      </w:pPr>
    </w:p>
    <w:p w:rsidR="001259F6" w:rsidRDefault="002F633A">
      <w:pPr>
        <w:tabs>
          <w:tab w:val="left" w:pos="1701"/>
          <w:tab w:val="left" w:pos="1985"/>
        </w:tabs>
        <w:ind w:left="1980" w:hanging="1980"/>
      </w:pPr>
      <w:r>
        <w:t xml:space="preserve">Materialien: </w:t>
      </w:r>
      <w:r>
        <w:tab/>
      </w:r>
      <w:r>
        <w:tab/>
        <w:t xml:space="preserve">frische Laubblätter, DC-Kammer oder kleines Becherglas, DC-Platten oder Filterpapier, Mörser mit Stößel, Pasteurpipette mit </w:t>
      </w:r>
      <w:r>
        <w:t>Hütchen, Pipette (10 mL) oder kleiner Messzylinder, Seesand</w:t>
      </w:r>
    </w:p>
    <w:p w:rsidR="001259F6" w:rsidRDefault="002F633A">
      <w:pPr>
        <w:tabs>
          <w:tab w:val="left" w:pos="1701"/>
          <w:tab w:val="left" w:pos="1985"/>
        </w:tabs>
        <w:ind w:left="1980" w:hanging="1980"/>
      </w:pPr>
      <w:r>
        <w:t>Chemikalien:</w:t>
      </w:r>
      <w:r>
        <w:tab/>
      </w:r>
      <w:r>
        <w:tab/>
        <w:t xml:space="preserve"> Aceton, Ethanol, Petroleumbenzin </w:t>
      </w:r>
    </w:p>
    <w:p w:rsidR="001259F6" w:rsidRDefault="002F633A">
      <w:pPr>
        <w:tabs>
          <w:tab w:val="left" w:pos="1701"/>
          <w:tab w:val="left" w:pos="1985"/>
        </w:tabs>
        <w:ind w:left="1980" w:hanging="1980"/>
      </w:pPr>
      <w:r>
        <w:t xml:space="preserve">Durchführung: </w:t>
      </w:r>
      <w:r>
        <w:tab/>
      </w:r>
      <w:r>
        <w:tab/>
      </w:r>
      <w:r>
        <w:tab/>
        <w:t xml:space="preserve"> Verreibe in einem Mörser wenige Blätter kräftig einige Minuten lang zusammen mit etwas Seesand und einigen mL Ethanol. Trage von </w:t>
      </w:r>
      <w:r>
        <w:t xml:space="preserve">der dunkelgrün gefärbten Lösung aus dem Mörser dann mehrmals einen Tropfen mithilfe der Pasteurpipette auf eine DC-Platte auf und lass diese trocknen. Die Tropfen werden aufeinander aufgetragen, um eine deutlich sichtbare Menge an Blattfarbstoffen auf die </w:t>
      </w:r>
      <w:r>
        <w:t>Platte zu bekommen. Der Fleck sollte aber jeweils nicht zu groß werden, um eine gute Auftrennung zu erhalten. Stelle eine Laufmittellösung aus 9 mL Petroleumbenzin und 1 mL Aceton her und gib sie in die Laufkammer. Setze die DC -Karte in die Chromatographi</w:t>
      </w:r>
      <w:r>
        <w:t xml:space="preserve">ekammer bzw. das Becherglas. Ist das Laufmittel im obersten Viertel angekommen, nimm die Karte aus dem Glas heraus und lasse sie im Dunkeln an der Luft trocknen. </w:t>
      </w:r>
    </w:p>
    <w:p w:rsidR="001259F6" w:rsidRDefault="002F633A">
      <w:pPr>
        <w:tabs>
          <w:tab w:val="left" w:pos="1701"/>
          <w:tab w:val="left" w:pos="1985"/>
        </w:tabs>
        <w:ind w:left="1980" w:hanging="1980"/>
      </w:pPr>
      <w:r>
        <w:rPr>
          <w:color w:val="000000"/>
        </w:rPr>
        <w:t>Beobachtung:</w:t>
      </w:r>
      <w:r>
        <w:rPr>
          <w:color w:val="FF0000"/>
        </w:rPr>
        <w:tab/>
      </w:r>
      <w:r>
        <w:rPr>
          <w:color w:val="FF0000"/>
        </w:rPr>
        <w:tab/>
      </w:r>
      <w:r>
        <w:rPr>
          <w:color w:val="000000"/>
        </w:rPr>
        <w:t>Auf den Startpunkt folgend sind mehrere verschieden farbige Banden erkennbar. A</w:t>
      </w:r>
      <w:r>
        <w:rPr>
          <w:color w:val="000000"/>
        </w:rPr>
        <w:t>ls erstes sind eine dunkelgrüne und eine hellgrüne Bande erkennbar. Als letztes und mit einem deutlichen Absatz befindet sich eine deutlich gelbe Bande.</w:t>
      </w:r>
    </w:p>
    <w:p w:rsidR="001259F6" w:rsidRDefault="002F633A">
      <w:pPr>
        <w:keepNext/>
        <w:tabs>
          <w:tab w:val="left" w:pos="1701"/>
          <w:tab w:val="left" w:pos="1985"/>
        </w:tabs>
        <w:ind w:left="1980" w:hanging="1980"/>
        <w:jc w:val="center"/>
      </w:pPr>
      <w:r>
        <w:lastRenderedPageBreak/>
        <w:t xml:space="preserve">                               </w:t>
      </w:r>
      <w:r>
        <w:rPr>
          <w:noProof/>
          <w:lang w:eastAsia="de-DE"/>
        </w:rPr>
        <w:drawing>
          <wp:inline distT="0" distB="0" distL="0" distR="0">
            <wp:extent cx="1975478" cy="3045299"/>
            <wp:effectExtent l="0" t="0" r="5722" b="2701"/>
            <wp:docPr id="11" name="Grafik 54" descr="C:\Users\Caro\Desktop\DC_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975478" cy="3045299"/>
                    </a:xfrm>
                    <a:prstGeom prst="rect">
                      <a:avLst/>
                    </a:prstGeom>
                    <a:noFill/>
                    <a:ln>
                      <a:noFill/>
                      <a:prstDash/>
                    </a:ln>
                  </pic:spPr>
                </pic:pic>
              </a:graphicData>
            </a:graphic>
          </wp:inline>
        </w:drawing>
      </w:r>
    </w:p>
    <w:p w:rsidR="001259F6" w:rsidRDefault="002F633A">
      <w:pPr>
        <w:pStyle w:val="Beschriftung"/>
        <w:jc w:val="right"/>
      </w:pPr>
      <w:r>
        <w:rPr>
          <w:color w:val="000000"/>
        </w:rPr>
        <w:t>Abb. 3 -  Versuchsaufbau zur Dünnschichtchromatografie mit beginnender</w:t>
      </w:r>
      <w:r>
        <w:rPr>
          <w:color w:val="000000"/>
        </w:rPr>
        <w:t xml:space="preserve"> Bandenauftrennung</w:t>
      </w:r>
    </w:p>
    <w:p w:rsidR="001259F6" w:rsidRDefault="001259F6"/>
    <w:p w:rsidR="001259F6" w:rsidRDefault="002F633A">
      <w:pPr>
        <w:tabs>
          <w:tab w:val="left" w:pos="1701"/>
          <w:tab w:val="left" w:pos="1985"/>
        </w:tabs>
        <w:ind w:left="2124" w:hanging="2124"/>
      </w:pPr>
      <w:r>
        <w:t xml:space="preserve">Deutung: </w:t>
      </w:r>
      <w:r>
        <w:tab/>
      </w:r>
      <w:r>
        <w:tab/>
      </w:r>
      <w:r>
        <w:tab/>
        <w:t>Das Zerreiben mit Sand hat den Zweck, die Pflanzenzellen aufzuschließen und somit eine bessere Extraktion der Farbstoffe zu erzielen.  Mithilfe der Laufmittel und der stationären Phase werden die Blattfarbstoffe nach ihrer u</w:t>
      </w:r>
      <w:r>
        <w:t xml:space="preserve">nterschiedlichen Ladung und Größe aufgetrennt. Pflanzenblätter enthalten demzufolge nicht nur grüne, sondern auch gelbe Farbstoffe, die im Herbst zutage treten, wenn die Chlorophylle abgebaut werden. Bei einigen Pflanzen wie der Bluteiche treten sogar die </w:t>
      </w:r>
      <w:r>
        <w:t xml:space="preserve">roten Farbstoffe zutage, die sonst vom grünen Chlorophyll überlagert werden. </w:t>
      </w:r>
    </w:p>
    <w:p w:rsidR="001259F6" w:rsidRDefault="002F633A">
      <w:pPr>
        <w:ind w:left="2124" w:hanging="2124"/>
        <w:jc w:val="left"/>
      </w:pPr>
      <w:r>
        <w:t>Entsorgung:</w:t>
      </w:r>
      <w:r>
        <w:tab/>
        <w:t xml:space="preserve">Das Laufmittel und die Chlorophyllösung werden im Behältnis für flüssige organische Abfälle entsorgt, die DC-Platten im Feststoffbehälter. </w:t>
      </w:r>
    </w:p>
    <w:p w:rsidR="001259F6" w:rsidRDefault="002F633A">
      <w:pPr>
        <w:spacing w:line="276" w:lineRule="auto"/>
        <w:jc w:val="left"/>
      </w:pPr>
      <w:r>
        <w:t xml:space="preserve">Literatur        </w:t>
      </w:r>
    </w:p>
    <w:p w:rsidR="001259F6" w:rsidRDefault="002F633A">
      <w:r>
        <w:t>Blume, P</w:t>
      </w:r>
      <w:r>
        <w:t>eter, http://www.chemieunterricht.de/dc2/tip/10_03.htm, 24.07.2016 (Zuletzt abgerufen am 24.07.2016 um 15:53Uhr).</w:t>
      </w:r>
    </w:p>
    <w:p w:rsidR="001259F6" w:rsidRDefault="002F633A">
      <w:r>
        <w:rPr>
          <w:noProof/>
          <w:lang w:eastAsia="de-DE"/>
        </w:rPr>
        <mc:AlternateContent>
          <mc:Choice Requires="wps">
            <w:drawing>
              <wp:inline distT="0" distB="0" distL="0" distR="0">
                <wp:extent cx="5760720" cy="1307463"/>
                <wp:effectExtent l="0" t="0" r="11430" b="26037"/>
                <wp:docPr id="12" name="Text Box 131"/>
                <wp:cNvGraphicFramePr/>
                <a:graphic xmlns:a="http://schemas.openxmlformats.org/drawingml/2006/main">
                  <a:graphicData uri="http://schemas.microsoft.com/office/word/2010/wordprocessingShape">
                    <wps:wsp>
                      <wps:cNvSpPr txBox="1"/>
                      <wps:spPr>
                        <a:xfrm>
                          <a:off x="0" y="0"/>
                          <a:ext cx="5760720" cy="1307463"/>
                        </a:xfrm>
                        <a:prstGeom prst="rect">
                          <a:avLst/>
                        </a:prstGeom>
                        <a:solidFill>
                          <a:srgbClr val="FFFFFF"/>
                        </a:solidFill>
                        <a:ln w="12701">
                          <a:solidFill>
                            <a:srgbClr val="ED7D31"/>
                          </a:solidFill>
                          <a:prstDash val="dash"/>
                        </a:ln>
                      </wps:spPr>
                      <wps:txbx>
                        <w:txbxContent>
                          <w:p w:rsidR="001259F6" w:rsidRDefault="002F633A">
                            <w:pPr>
                              <w:rPr>
                                <w:color w:val="auto"/>
                              </w:rPr>
                            </w:pPr>
                            <w:r>
                              <w:rPr>
                                <w:color w:val="auto"/>
                              </w:rPr>
                              <w:t>Wünschenswert zur Vorbereitung auf diesen Versuch sind die Durchführung einer Papierchromatografie z.B. mit Filzstiftfarben. Dieser Versuch</w:t>
                            </w:r>
                            <w:r>
                              <w:rPr>
                                <w:color w:val="auto"/>
                              </w:rPr>
                              <w:t xml:space="preserve"> eignet sich eher als Übungsexperiment, da eine entsprechende Fingerfertigkeit und ein sicherer Umgang mit den Chemikalien von den SuS gefordert wird. Es empfiehlt sich die Verwendung von DC-Platten, eine Durchführung des Versuches mit Filterpapier oder ge</w:t>
                            </w:r>
                            <w:r>
                              <w:rPr>
                                <w:color w:val="auto"/>
                              </w:rPr>
                              <w:t xml:space="preserve">trockneten Kreidestücken als stationäre Phase ist jedoch auch möglich. Bei der Durchführung ist auf eine ausreichende Belüftung des Arbeitsplatzes zu achten. </w:t>
                            </w:r>
                          </w:p>
                          <w:p w:rsidR="001259F6" w:rsidRDefault="001259F6">
                            <w:pPr>
                              <w:rPr>
                                <w:color w:val="auto"/>
                              </w:rPr>
                            </w:pP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10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" strokecolor="#ed7d31" strokeweight=".35281mm">
                <v:stroke dashstyle="dash"/>
                <v:textbox>
                  <w:txbxContent>
                    <w:p w:rsidR="001259F6" w:rsidRDefault="002F633A">
                      <w:pPr>
                        <w:rPr>
                          <w:color w:val="auto"/>
                        </w:rPr>
                      </w:pPr>
                      <w:r>
                        <w:rPr>
                          <w:color w:val="auto"/>
                        </w:rPr>
                        <w:t>Wünschenswert zur Vorbereitung auf diesen Versuch sind die Durchführung einer Papierchromatografie z.B. mit Filzstiftfarben. Dieser Versuch</w:t>
                      </w:r>
                      <w:r>
                        <w:rPr>
                          <w:color w:val="auto"/>
                        </w:rPr>
                        <w:t xml:space="preserve"> eignet sich eher als Übungsexperiment, da eine entsprechende Fingerfertigkeit und ein sicherer Umgang mit den Chemikalien von den SuS gefordert wird. Es empfiehlt sich die Verwendung von DC-Platten, eine Durchführung des Versuches mit Filterpapier oder ge</w:t>
                      </w:r>
                      <w:r>
                        <w:rPr>
                          <w:color w:val="auto"/>
                        </w:rPr>
                        <w:t xml:space="preserve">trockneten Kreidestücken als stationäre Phase ist jedoch auch möglich. Bei der Durchführung ist auf eine ausreichende Belüftung des Arbeitsplatzes zu achten. </w:t>
                      </w:r>
                    </w:p>
                    <w:p w:rsidR="001259F6" w:rsidRDefault="001259F6">
                      <w:pPr>
                        <w:rPr>
                          <w:color w:val="auto"/>
                        </w:rPr>
                      </w:pPr>
                    </w:p>
                  </w:txbxContent>
                </v:textbox>
                <w10:anchorlock/>
              </v:shape>
            </w:pict>
          </mc:Fallback>
        </mc:AlternateContent>
      </w:r>
    </w:p>
    <w:sectPr w:rsidR="001259F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33A" w:rsidRDefault="002F633A">
      <w:pPr>
        <w:spacing w:after="0" w:line="240" w:lineRule="auto"/>
      </w:pPr>
      <w:r>
        <w:separator/>
      </w:r>
    </w:p>
  </w:endnote>
  <w:endnote w:type="continuationSeparator" w:id="0">
    <w:p w:rsidR="002F633A" w:rsidRDefault="002F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33A" w:rsidRDefault="002F633A">
      <w:pPr>
        <w:spacing w:after="0" w:line="240" w:lineRule="auto"/>
      </w:pPr>
      <w:r>
        <w:rPr>
          <w:color w:val="000000"/>
        </w:rPr>
        <w:separator/>
      </w:r>
    </w:p>
  </w:footnote>
  <w:footnote w:type="continuationSeparator" w:id="0">
    <w:p w:rsidR="002F633A" w:rsidRDefault="002F6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D7465"/>
    <w:multiLevelType w:val="multilevel"/>
    <w:tmpl w:val="40F0B9EE"/>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259F6"/>
    <w:rsid w:val="001259F6"/>
    <w:rsid w:val="002F633A"/>
    <w:rsid w:val="00C47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1512A-64F4-4ED8-8CB0-B5C08552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2016-08-12T11:02:00Z</dcterms:created>
  <dcterms:modified xsi:type="dcterms:W3CDTF">2016-08-12T11:02:00Z</dcterms:modified>
</cp:coreProperties>
</file>