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60" w:rsidRDefault="00DB5460" w:rsidP="00DB5460">
      <w:pPr>
        <w:pStyle w:val="berschrift1"/>
        <w:numPr>
          <w:ilvl w:val="0"/>
          <w:numId w:val="0"/>
        </w:numPr>
        <w:ind w:left="431" w:hanging="431"/>
      </w:pPr>
      <w:bookmarkStart w:id="0" w:name="_GoBack"/>
      <w:bookmarkEnd w:id="0"/>
      <w:r>
        <w:t>V2 – Herstellung von Pergamentpapier</w:t>
      </w:r>
    </w:p>
    <w:p w:rsidR="00DB5460" w:rsidRDefault="00DB5460" w:rsidP="00DB5460">
      <w:pPr>
        <w:spacing w:before="120" w:after="0"/>
      </w:pPr>
      <w:r>
        <w:t>Aus dem Alltag kennen die SuS verschiedene Arte von Papier und auch das Pergamentpapier. Dieser Versuch kann im Unterricht beim Thema Herstellung von Papier eingesetzt werden. Di</w:t>
      </w:r>
      <w:r>
        <w:t>e</w:t>
      </w:r>
      <w:r>
        <w:t xml:space="preserve">ser Versuch zeigt den SuS, wie das Pergamentpapier hergestellt wird. </w:t>
      </w:r>
    </w:p>
    <w:p w:rsidR="00DB5460" w:rsidRDefault="00DB5460" w:rsidP="00DB5460">
      <w:pPr>
        <w:spacing w:before="120" w:after="0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96"/>
        <w:gridCol w:w="2772"/>
        <w:gridCol w:w="2520"/>
        <w:gridCol w:w="1734"/>
      </w:tblGrid>
      <w:tr w:rsidR="00DB5460" w:rsidTr="00DB5460">
        <w:trPr>
          <w:trHeight w:val="190"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460" w:rsidRDefault="00DB5460">
            <w:pPr>
              <w:suppressAutoHyphens/>
              <w:spacing w:after="0"/>
              <w:jc w:val="center"/>
              <w:rPr>
                <w:rFonts w:cs="Cambria"/>
                <w:lang w:eastAsia="zh-CN"/>
              </w:rPr>
            </w:pPr>
            <w:r>
              <w:rPr>
                <w:b/>
                <w:sz w:val="20"/>
                <w:szCs w:val="20"/>
              </w:rPr>
              <w:t>Gefahrstoffen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460" w:rsidRDefault="00DB5460">
            <w:pPr>
              <w:suppressAutoHyphens/>
              <w:spacing w:after="0"/>
              <w:jc w:val="center"/>
              <w:rPr>
                <w:rFonts w:cs="Cambria"/>
                <w:sz w:val="20"/>
                <w:szCs w:val="20"/>
                <w:lang w:eastAsia="zh-CN"/>
              </w:rPr>
            </w:pPr>
          </w:p>
        </w:tc>
      </w:tr>
      <w:tr w:rsidR="00DB5460" w:rsidTr="00DB5460">
        <w:trPr>
          <w:trHeight w:val="1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460" w:rsidRDefault="00DB5460">
            <w:pPr>
              <w:spacing w:after="0"/>
              <w:jc w:val="center"/>
              <w:rPr>
                <w:rFonts w:cs="Cambr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Schwefelsäure</w:t>
            </w:r>
          </w:p>
          <w:p w:rsidR="00DB5460" w:rsidRDefault="00DB5460">
            <w:pPr>
              <w:suppressAutoHyphens/>
              <w:spacing w:after="0"/>
              <w:jc w:val="center"/>
              <w:rPr>
                <w:rFonts w:cs="Cambr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(w  = 80%)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460" w:rsidRDefault="00DB5460">
            <w:pPr>
              <w:suppressAutoHyphens/>
              <w:spacing w:after="0"/>
              <w:jc w:val="center"/>
              <w:rPr>
                <w:rFonts w:cs="Cambr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460" w:rsidRDefault="00DB5460">
            <w:pPr>
              <w:spacing w:after="0"/>
              <w:jc w:val="center"/>
              <w:rPr>
                <w:rFonts w:cs="Cambr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P: 280–301+330+331</w:t>
            </w:r>
          </w:p>
          <w:p w:rsidR="00DB5460" w:rsidRDefault="00DB5460">
            <w:pPr>
              <w:suppressAutoHyphens/>
              <w:spacing w:after="0"/>
              <w:jc w:val="center"/>
              <w:rPr>
                <w:rFonts w:cs="Cambria"/>
                <w:lang w:eastAsia="zh-CN"/>
              </w:rPr>
            </w:pPr>
            <w:r>
              <w:rPr>
                <w:sz w:val="20"/>
                <w:szCs w:val="20"/>
              </w:rPr>
              <w:t>+305+351+338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460" w:rsidRDefault="00DB5460">
            <w:pPr>
              <w:suppressAutoHyphens/>
              <w:snapToGrid w:val="0"/>
              <w:spacing w:after="0"/>
              <w:rPr>
                <w:rFonts w:cs="Cambria"/>
                <w:lang w:eastAsia="zh-CN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45185" cy="8280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460" w:rsidRDefault="00DB5460" w:rsidP="00DB5460">
      <w:pPr>
        <w:spacing w:after="0"/>
        <w:rPr>
          <w:rFonts w:cs="Cambria"/>
          <w:lang w:eastAsia="zh-CN"/>
        </w:rPr>
      </w:pPr>
    </w:p>
    <w:p w:rsidR="00DB5460" w:rsidRDefault="00DB5460" w:rsidP="00DB5460">
      <w:pPr>
        <w:spacing w:before="120" w:after="120"/>
        <w:ind w:left="1620" w:hanging="1620"/>
      </w:pPr>
      <w:r>
        <w:t xml:space="preserve">Materialien: </w:t>
      </w:r>
      <w:r>
        <w:tab/>
        <w:t>Becherglas (200 ml), Pinzette</w:t>
      </w:r>
    </w:p>
    <w:p w:rsidR="00DB5460" w:rsidRDefault="00DB5460" w:rsidP="00DB5460">
      <w:pPr>
        <w:spacing w:before="120" w:after="120"/>
        <w:ind w:left="1620" w:hanging="1620"/>
      </w:pPr>
      <w:r>
        <w:t xml:space="preserve">Chemikalien: </w:t>
      </w:r>
      <w:r>
        <w:tab/>
        <w:t>Schwefelsäure (w = 80%), Filterpapier (in der Größe passend zum Becherglas)</w:t>
      </w:r>
    </w:p>
    <w:p w:rsidR="00DB5460" w:rsidRDefault="00DB5460" w:rsidP="00DB5460">
      <w:pPr>
        <w:spacing w:before="120" w:after="120"/>
        <w:ind w:left="1620" w:hanging="1620"/>
      </w:pPr>
      <w:r>
        <w:t xml:space="preserve">Durchführung: </w:t>
      </w:r>
      <w:r>
        <w:tab/>
        <w:t>Die Hälfte des Filterpapiers wird mit einer Pinzette 10 Sekunden lang in die kalte Schwefelsäure getaucht. Dann wird das ganze Papierblatt mit Leitung</w:t>
      </w:r>
      <w:r>
        <w:t>s</w:t>
      </w:r>
      <w:r>
        <w:t xml:space="preserve">wasser abgespült. Das Papier wird zwischen Saugpapier getrocknet oder es kann zum Trocknen ein Haarföhn verwendet werden. </w:t>
      </w:r>
      <w:r>
        <w:rPr>
          <w:b/>
        </w:rPr>
        <w:t>Achtung:</w:t>
      </w:r>
      <w:r>
        <w:t xml:space="preserve"> Die Schwefe</w:t>
      </w:r>
      <w:r>
        <w:t>l</w:t>
      </w:r>
      <w:r>
        <w:t>säure muss wirklich kalt sein.</w:t>
      </w:r>
    </w:p>
    <w:p w:rsidR="00DB5460" w:rsidRDefault="00DB5460" w:rsidP="00DB5460">
      <w:pPr>
        <w:spacing w:before="120" w:after="120"/>
        <w:ind w:left="1620" w:hanging="1620"/>
      </w:pPr>
      <w:r>
        <w:t xml:space="preserve">Beobachtung: </w:t>
      </w:r>
      <w:r>
        <w:tab/>
        <w:t>Die in Schwefelsäure getauchte Hälfte des Filterpapiers hat sich in Pergamen</w:t>
      </w:r>
      <w:r>
        <w:t>t</w:t>
      </w:r>
      <w:r>
        <w:t xml:space="preserve">papier verwandelt.  </w:t>
      </w:r>
    </w:p>
    <w:p w:rsidR="00DB5460" w:rsidRDefault="00DB5460" w:rsidP="00DB5460">
      <w:pPr>
        <w:keepNext/>
        <w:spacing w:before="120" w:after="120"/>
        <w:ind w:left="1620" w:hanging="1620"/>
        <w:jc w:val="center"/>
      </w:pPr>
      <w:r>
        <w:rPr>
          <w:noProof/>
          <w:lang w:eastAsia="de-DE"/>
        </w:rPr>
        <w:drawing>
          <wp:inline distT="0" distB="0" distL="0" distR="0">
            <wp:extent cx="1431925" cy="19151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1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0" w:rsidRDefault="00DB5460" w:rsidP="00DB5460">
      <w:pPr>
        <w:pStyle w:val="Beschriftung"/>
        <w:jc w:val="center"/>
      </w:pPr>
      <w:r>
        <w:rPr>
          <w:b w:val="0"/>
        </w:rPr>
        <w:t xml:space="preserve">Abbildung </w:t>
      </w:r>
      <w:r>
        <w:rPr>
          <w:b w:val="0"/>
        </w:rPr>
        <w:fldChar w:fldCharType="begin"/>
      </w:r>
      <w:r>
        <w:rPr>
          <w:b w:val="0"/>
        </w:rPr>
        <w:instrText xml:space="preserve"> SEQ "Abbildung" \*Arabic </w:instrText>
      </w:r>
      <w:r>
        <w:rPr>
          <w:b w:val="0"/>
        </w:rPr>
        <w:fldChar w:fldCharType="separate"/>
      </w:r>
      <w:r>
        <w:rPr>
          <w:b w:val="0"/>
        </w:rPr>
        <w:t>2</w:t>
      </w:r>
      <w:r>
        <w:rPr>
          <w:b w:val="0"/>
        </w:rPr>
        <w:fldChar w:fldCharType="end"/>
      </w:r>
      <w:r>
        <w:rPr>
          <w:b w:val="0"/>
        </w:rPr>
        <w:t xml:space="preserve"> - Hergestelltes Pergamentpapier</w:t>
      </w:r>
    </w:p>
    <w:p w:rsidR="00DB5460" w:rsidRDefault="00DB5460" w:rsidP="00DB5460">
      <w:pPr>
        <w:spacing w:before="120" w:after="120"/>
        <w:ind w:left="1620" w:hanging="1620"/>
      </w:pPr>
      <w:r>
        <w:t xml:space="preserve">Deutung: </w:t>
      </w:r>
      <w:r>
        <w:tab/>
        <w:t>Beim Tauchen das Filterpapier in die Schwefelsäure wird Cellulose teilweise zerstört. Also das Pergamentpapier besteht aus teilweise zerstörter Cellulose.</w:t>
      </w:r>
    </w:p>
    <w:p w:rsidR="00DB5460" w:rsidRDefault="00DB5460" w:rsidP="00DB5460">
      <w:pPr>
        <w:ind w:left="1416" w:hanging="1416"/>
      </w:pPr>
      <w:r>
        <w:lastRenderedPageBreak/>
        <w:t xml:space="preserve">Literatur: </w:t>
      </w:r>
      <w:r>
        <w:tab/>
        <w:t xml:space="preserve">Prof. </w:t>
      </w:r>
      <w:proofErr w:type="spellStart"/>
      <w:r>
        <w:t>Blumes</w:t>
      </w:r>
      <w:proofErr w:type="spellEnd"/>
      <w:r>
        <w:t>. Medienangebot: Papier Abgerufen am 30. September 2012 von http://www.chemieunterricht.de/dc2/papier/dc2pv_4.htm</w:t>
      </w:r>
    </w:p>
    <w:p w:rsidR="00DB5460" w:rsidRDefault="00DB5460" w:rsidP="00DB5460">
      <w:pPr>
        <w:spacing w:after="0"/>
        <w:rPr>
          <w:sz w:val="28"/>
        </w:rPr>
      </w:pPr>
      <w:r>
        <w:t xml:space="preserve">Anmerkung zur Entsorgung: Die benutzte Schwefelsäure kann mehrmals genutzt werden und wird deswegen in eine besondere Flasche mit entsprechender Beschriftung gefüllt. </w:t>
      </w:r>
    </w:p>
    <w:p w:rsidR="00BE6DD9" w:rsidRPr="00DB5460" w:rsidRDefault="00BE6DD9" w:rsidP="00DB5460"/>
    <w:sectPr w:rsidR="00BE6DD9" w:rsidRPr="00DB5460" w:rsidSect="00105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B7" w:rsidRDefault="003314B7" w:rsidP="009524CC">
      <w:pPr>
        <w:spacing w:after="0"/>
      </w:pPr>
      <w:r>
        <w:separator/>
      </w:r>
    </w:p>
  </w:endnote>
  <w:endnote w:type="continuationSeparator" w:id="0">
    <w:p w:rsidR="003314B7" w:rsidRDefault="003314B7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B7" w:rsidRDefault="003314B7" w:rsidP="009524CC">
      <w:pPr>
        <w:spacing w:after="0"/>
      </w:pPr>
      <w:r>
        <w:separator/>
      </w:r>
    </w:p>
  </w:footnote>
  <w:footnote w:type="continuationSeparator" w:id="0">
    <w:p w:rsidR="003314B7" w:rsidRDefault="003314B7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B5460" w:rsidRPr="00DB5460">
            <w:rPr>
              <w:b/>
              <w:bCs/>
              <w:noProof/>
              <w:sz w:val="20"/>
              <w:szCs w:val="20"/>
            </w:rPr>
            <w:t>V2 – Herstellung von Pergamentpapier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B5460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4B7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23D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5460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839-D217-47A1-A9C2-992FBE7D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2013-07-08T13:43:00Z</dcterms:created>
  <dcterms:modified xsi:type="dcterms:W3CDTF">2013-07-08T13:43:00Z</dcterms:modified>
</cp:coreProperties>
</file>