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90F" w:rsidRPr="00CC307A" w:rsidRDefault="0023090F" w:rsidP="0023090F">
      <w:pPr>
        <w:pStyle w:val="berschrift2"/>
        <w:rPr>
          <w:color w:val="auto"/>
        </w:rPr>
      </w:pPr>
      <w:bookmarkStart w:id="0" w:name="_Toc425776595"/>
      <w:bookmarkStart w:id="1" w:name="_Toc456688591"/>
      <w:bookmarkStart w:id="2" w:name="_Toc456688607"/>
      <w:bookmarkStart w:id="3" w:name="_Toc457114658"/>
      <w:bookmarkStart w:id="4" w:name="_Toc457302142"/>
      <w:bookmarkStart w:id="5" w:name="_Toc457302141"/>
      <w:r>
        <w:rPr>
          <w:noProof/>
          <w:lang w:eastAsia="de-DE"/>
        </w:rPr>
        <mc:AlternateContent>
          <mc:Choice Requires="wps">
            <w:drawing>
              <wp:anchor distT="0" distB="0" distL="114300" distR="114300" simplePos="0" relativeHeight="251659264" behindDoc="0" locked="0" layoutInCell="1" allowOverlap="1" wp14:anchorId="5883612D" wp14:editId="4333DA6F">
                <wp:simplePos x="0" y="0"/>
                <wp:positionH relativeFrom="margin">
                  <wp:align>left</wp:align>
                </wp:positionH>
                <wp:positionV relativeFrom="paragraph">
                  <wp:posOffset>398780</wp:posOffset>
                </wp:positionV>
                <wp:extent cx="5873115" cy="514350"/>
                <wp:effectExtent l="0" t="0" r="13335" b="1905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143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090F" w:rsidRPr="00F31EBF" w:rsidRDefault="0023090F" w:rsidP="0023090F">
                            <w:pPr>
                              <w:rPr>
                                <w:color w:val="auto"/>
                              </w:rPr>
                            </w:pPr>
                            <w:r>
                              <w:rPr>
                                <w:color w:val="auto"/>
                              </w:rPr>
                              <w:t>Bei diesem Versuch sollen die SuS erkennen, dass ein Feuer nicht nur durch eine offensichtliche Wärmequelle entzündet werden kann. Die SuS kennen das Feuerdreieck bereits.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83612D" id="_x0000_t202" coordsize="21600,21600" o:spt="202" path="m,l,21600r21600,l21600,xe">
                <v:stroke joinstyle="miter"/>
                <v:path gradientshapeok="t" o:connecttype="rect"/>
              </v:shapetype>
              <v:shape id="Text Box 60" o:spid="_x0000_s1026" type="#_x0000_t202" style="position:absolute;left:0;text-align:left;margin-left:0;margin-top:31.4pt;width:462.45pt;height:4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" fillcolor="white [3201]" strokecolor="#4472c4 [3208]" strokeweight="1pt">
                <v:stroke dashstyle="dash"/>
                <v:shadow color="#868686"/>
                <v:textbox>
                  <w:txbxContent>
                    <w:p w:rsidR="0023090F" w:rsidRPr="00F31EBF" w:rsidRDefault="0023090F" w:rsidP="0023090F">
                      <w:pPr>
                        <w:rPr>
                          <w:color w:val="auto"/>
                        </w:rPr>
                      </w:pPr>
                      <w:r>
                        <w:rPr>
                          <w:color w:val="auto"/>
                        </w:rPr>
                        <w:t>Bei diesem Versuch sollen die SuS erkennen, dass ein Feuer nicht nur durch eine offensichtliche Wärmequelle entzündet werden kann. Die SuS kennen das Feuerdreieck bereits.</w:t>
                      </w:r>
                    </w:p>
                  </w:txbxContent>
                </v:textbox>
                <w10:wrap type="square" anchorx="margin"/>
              </v:shape>
            </w:pict>
          </mc:Fallback>
        </mc:AlternateContent>
      </w:r>
      <w:bookmarkEnd w:id="0"/>
      <w:bookmarkEnd w:id="1"/>
      <w:bookmarkEnd w:id="2"/>
      <w:bookmarkEnd w:id="3"/>
      <w:bookmarkEnd w:id="4"/>
      <w:r w:rsidRPr="00CC307A">
        <w:rPr>
          <w:color w:val="auto"/>
        </w:rPr>
        <w:t xml:space="preserve">V1 – </w:t>
      </w:r>
      <w:bookmarkStart w:id="6" w:name="_GoBack"/>
      <w:r>
        <w:rPr>
          <w:color w:val="auto"/>
        </w:rPr>
        <w:t xml:space="preserve">Magische </w:t>
      </w:r>
      <w:proofErr w:type="gramStart"/>
      <w:r>
        <w:rPr>
          <w:color w:val="auto"/>
        </w:rPr>
        <w:t>Flamme</w:t>
      </w:r>
      <w:bookmarkEnd w:id="6"/>
      <w:r w:rsidRPr="00D113B5">
        <w:rPr>
          <w:color w:val="auto"/>
          <w:vertAlign w:val="superscript"/>
        </w:rPr>
        <w:t>[</w:t>
      </w:r>
      <w:proofErr w:type="gramEnd"/>
      <w:r>
        <w:rPr>
          <w:color w:val="auto"/>
          <w:sz w:val="20"/>
          <w:vertAlign w:val="superscript"/>
        </w:rPr>
        <w:t>1]</w:t>
      </w:r>
      <w:bookmarkEnd w:id="5"/>
    </w:p>
    <w:p w:rsidR="0023090F" w:rsidRDefault="0023090F" w:rsidP="0023090F">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3090F" w:rsidRPr="009C5E28" w:rsidTr="009236E9">
        <w:tc>
          <w:tcPr>
            <w:tcW w:w="9322" w:type="dxa"/>
            <w:gridSpan w:val="9"/>
            <w:shd w:val="clear" w:color="auto" w:fill="4F81BD"/>
            <w:vAlign w:val="center"/>
          </w:tcPr>
          <w:p w:rsidR="0023090F" w:rsidRPr="00F31EBF" w:rsidRDefault="0023090F" w:rsidP="009236E9">
            <w:pPr>
              <w:spacing w:after="0"/>
              <w:jc w:val="center"/>
              <w:rPr>
                <w:b/>
                <w:bCs/>
                <w:color w:val="FFFFFF" w:themeColor="background1"/>
              </w:rPr>
            </w:pPr>
            <w:r w:rsidRPr="00F31EBF">
              <w:rPr>
                <w:b/>
                <w:bCs/>
                <w:color w:val="FFFFFF" w:themeColor="background1"/>
              </w:rPr>
              <w:t>Gefahrenstoffe</w:t>
            </w:r>
          </w:p>
        </w:tc>
      </w:tr>
      <w:tr w:rsidR="0023090F"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3090F" w:rsidRPr="009C5E28" w:rsidRDefault="0023090F" w:rsidP="009236E9">
            <w:pPr>
              <w:spacing w:after="0" w:line="276" w:lineRule="auto"/>
              <w:jc w:val="center"/>
              <w:rPr>
                <w:b/>
                <w:bCs/>
              </w:rPr>
            </w:pPr>
            <w:r>
              <w:rPr>
                <w:sz w:val="20"/>
              </w:rPr>
              <w:t>Ammoniumnitrat</w:t>
            </w:r>
          </w:p>
        </w:tc>
        <w:tc>
          <w:tcPr>
            <w:tcW w:w="3177" w:type="dxa"/>
            <w:gridSpan w:val="3"/>
            <w:tcBorders>
              <w:top w:val="single" w:sz="8" w:space="0" w:color="4F81BD"/>
              <w:bottom w:val="single" w:sz="8" w:space="0" w:color="4F81BD"/>
            </w:tcBorders>
            <w:shd w:val="clear" w:color="auto" w:fill="auto"/>
            <w:vAlign w:val="center"/>
          </w:tcPr>
          <w:p w:rsidR="0023090F" w:rsidRPr="00D92217" w:rsidRDefault="0023090F" w:rsidP="009236E9">
            <w:pPr>
              <w:spacing w:after="0"/>
              <w:jc w:val="center"/>
              <w:rPr>
                <w:sz w:val="20"/>
                <w:szCs w:val="20"/>
              </w:rPr>
            </w:pPr>
            <w:r w:rsidRPr="00D92217">
              <w:rPr>
                <w:sz w:val="20"/>
                <w:szCs w:val="20"/>
              </w:rPr>
              <w:t>H: 272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3090F" w:rsidRPr="00D92217" w:rsidRDefault="0023090F" w:rsidP="009236E9">
            <w:pPr>
              <w:spacing w:after="0"/>
              <w:jc w:val="center"/>
              <w:rPr>
                <w:sz w:val="20"/>
                <w:szCs w:val="20"/>
              </w:rPr>
            </w:pPr>
            <w:r w:rsidRPr="00D92217">
              <w:rPr>
                <w:sz w:val="20"/>
                <w:szCs w:val="20"/>
              </w:rPr>
              <w:t>P: 210</w:t>
            </w:r>
          </w:p>
        </w:tc>
      </w:tr>
      <w:tr w:rsidR="0023090F" w:rsidRPr="009C5E28" w:rsidTr="009236E9">
        <w:trPr>
          <w:trHeight w:val="434"/>
        </w:trPr>
        <w:tc>
          <w:tcPr>
            <w:tcW w:w="3027" w:type="dxa"/>
            <w:gridSpan w:val="3"/>
            <w:tcBorders>
              <w:bottom w:val="single" w:sz="4" w:space="0" w:color="5B9BD5" w:themeColor="accent1"/>
            </w:tcBorders>
            <w:shd w:val="clear" w:color="auto" w:fill="auto"/>
            <w:vAlign w:val="center"/>
          </w:tcPr>
          <w:p w:rsidR="0023090F" w:rsidRPr="00746B7E" w:rsidRDefault="0023090F" w:rsidP="009236E9">
            <w:pPr>
              <w:spacing w:after="0" w:line="276" w:lineRule="auto"/>
              <w:jc w:val="center"/>
              <w:rPr>
                <w:bCs/>
                <w:color w:val="000000" w:themeColor="text1"/>
                <w:sz w:val="20"/>
              </w:rPr>
            </w:pPr>
            <w:r w:rsidRPr="00746B7E">
              <w:rPr>
                <w:color w:val="000000" w:themeColor="text1"/>
                <w:sz w:val="20"/>
                <w:szCs w:val="20"/>
              </w:rPr>
              <w:t>Ammoniumchlorid</w:t>
            </w:r>
          </w:p>
        </w:tc>
        <w:tc>
          <w:tcPr>
            <w:tcW w:w="3177" w:type="dxa"/>
            <w:gridSpan w:val="3"/>
            <w:tcBorders>
              <w:bottom w:val="single" w:sz="4" w:space="0" w:color="5B9BD5" w:themeColor="accent1"/>
            </w:tcBorders>
            <w:shd w:val="clear" w:color="auto" w:fill="auto"/>
            <w:vAlign w:val="center"/>
          </w:tcPr>
          <w:p w:rsidR="0023090F" w:rsidRPr="00D92217" w:rsidRDefault="0023090F" w:rsidP="009236E9">
            <w:pPr>
              <w:pStyle w:val="Beschriftung"/>
              <w:spacing w:after="0"/>
              <w:jc w:val="center"/>
              <w:rPr>
                <w:color w:val="000000" w:themeColor="text1"/>
                <w:sz w:val="20"/>
                <w:szCs w:val="20"/>
              </w:rPr>
            </w:pPr>
            <w:r w:rsidRPr="00D92217">
              <w:rPr>
                <w:color w:val="000000" w:themeColor="text1"/>
                <w:sz w:val="20"/>
                <w:szCs w:val="20"/>
              </w:rPr>
              <w:t>H: 302-319</w:t>
            </w:r>
          </w:p>
        </w:tc>
        <w:tc>
          <w:tcPr>
            <w:tcW w:w="3118" w:type="dxa"/>
            <w:gridSpan w:val="3"/>
            <w:tcBorders>
              <w:bottom w:val="single" w:sz="4" w:space="0" w:color="5B9BD5" w:themeColor="accent1"/>
            </w:tcBorders>
            <w:shd w:val="clear" w:color="auto" w:fill="auto"/>
            <w:vAlign w:val="center"/>
          </w:tcPr>
          <w:p w:rsidR="0023090F" w:rsidRPr="00D92217" w:rsidRDefault="0023090F" w:rsidP="009236E9">
            <w:pPr>
              <w:pStyle w:val="Beschriftung"/>
              <w:spacing w:after="0"/>
              <w:jc w:val="center"/>
              <w:rPr>
                <w:color w:val="000000" w:themeColor="text1"/>
                <w:sz w:val="20"/>
                <w:szCs w:val="20"/>
              </w:rPr>
            </w:pPr>
            <w:r w:rsidRPr="00D92217">
              <w:rPr>
                <w:color w:val="000000" w:themeColor="text1"/>
                <w:sz w:val="20"/>
                <w:szCs w:val="20"/>
              </w:rPr>
              <w:t>P: 305+351+338</w:t>
            </w:r>
          </w:p>
        </w:tc>
      </w:tr>
      <w:tr w:rsidR="0023090F" w:rsidRPr="009C5E28" w:rsidTr="009236E9">
        <w:trPr>
          <w:trHeight w:val="434"/>
        </w:trPr>
        <w:tc>
          <w:tcPr>
            <w:tcW w:w="3027" w:type="dxa"/>
            <w:gridSpan w:val="3"/>
            <w:tcBorders>
              <w:top w:val="single" w:sz="4" w:space="0" w:color="5B9BD5" w:themeColor="accent1"/>
            </w:tcBorders>
            <w:shd w:val="clear" w:color="auto" w:fill="auto"/>
            <w:vAlign w:val="center"/>
          </w:tcPr>
          <w:p w:rsidR="0023090F" w:rsidRPr="00746B7E" w:rsidRDefault="0023090F" w:rsidP="009236E9">
            <w:pPr>
              <w:spacing w:after="0" w:line="276" w:lineRule="auto"/>
              <w:jc w:val="center"/>
              <w:rPr>
                <w:color w:val="000000" w:themeColor="text1"/>
                <w:sz w:val="20"/>
                <w:szCs w:val="20"/>
                <w14:textOutline w14:w="9525" w14:cap="rnd" w14:cmpd="sng" w14:algn="ctr">
                  <w14:noFill/>
                  <w14:prstDash w14:val="solid"/>
                  <w14:bevel/>
                </w14:textOutline>
              </w:rPr>
            </w:pPr>
            <w:r w:rsidRPr="00746B7E">
              <w:rPr>
                <w:color w:val="000000" w:themeColor="text1"/>
                <w:sz w:val="20"/>
                <w:szCs w:val="20"/>
                <w14:textOutline w14:w="9525" w14:cap="rnd" w14:cmpd="sng" w14:algn="ctr">
                  <w14:noFill/>
                  <w14:prstDash w14:val="solid"/>
                  <w14:bevel/>
                </w14:textOutline>
              </w:rPr>
              <w:t>Calcium</w:t>
            </w:r>
            <w:r>
              <w:rPr>
                <w:color w:val="000000" w:themeColor="text1"/>
                <w:sz w:val="20"/>
                <w:szCs w:val="20"/>
                <w14:textOutline w14:w="9525" w14:cap="rnd" w14:cmpd="sng" w14:algn="ctr">
                  <w14:noFill/>
                  <w14:prstDash w14:val="solid"/>
                  <w14:bevel/>
                </w14:textOutline>
              </w:rPr>
              <w:t>nitrat-</w:t>
            </w:r>
            <w:proofErr w:type="spellStart"/>
            <w:r>
              <w:rPr>
                <w:color w:val="000000" w:themeColor="text1"/>
                <w:sz w:val="20"/>
                <w:szCs w:val="20"/>
                <w14:textOutline w14:w="9525" w14:cap="rnd" w14:cmpd="sng" w14:algn="ctr">
                  <w14:noFill/>
                  <w14:prstDash w14:val="solid"/>
                  <w14:bevel/>
                </w14:textOutline>
              </w:rPr>
              <w:t>Tetrahydrat</w:t>
            </w:r>
            <w:proofErr w:type="spellEnd"/>
          </w:p>
        </w:tc>
        <w:tc>
          <w:tcPr>
            <w:tcW w:w="3177" w:type="dxa"/>
            <w:gridSpan w:val="3"/>
            <w:tcBorders>
              <w:top w:val="single" w:sz="4" w:space="0" w:color="5B9BD5" w:themeColor="accent1"/>
            </w:tcBorders>
            <w:shd w:val="clear" w:color="auto" w:fill="auto"/>
            <w:vAlign w:val="center"/>
          </w:tcPr>
          <w:p w:rsidR="0023090F" w:rsidRPr="00D92217" w:rsidRDefault="0023090F" w:rsidP="009236E9">
            <w:pPr>
              <w:pStyle w:val="Beschriftung"/>
              <w:spacing w:after="0"/>
              <w:jc w:val="center"/>
              <w:rPr>
                <w:color w:val="000000" w:themeColor="text1"/>
                <w:sz w:val="20"/>
                <w:szCs w:val="20"/>
              </w:rPr>
            </w:pPr>
            <w:r w:rsidRPr="00D92217">
              <w:rPr>
                <w:color w:val="000000" w:themeColor="text1"/>
                <w:sz w:val="20"/>
                <w:szCs w:val="20"/>
              </w:rPr>
              <w:t>H: 272-319</w:t>
            </w:r>
          </w:p>
        </w:tc>
        <w:tc>
          <w:tcPr>
            <w:tcW w:w="3118" w:type="dxa"/>
            <w:gridSpan w:val="3"/>
            <w:tcBorders>
              <w:top w:val="single" w:sz="4" w:space="0" w:color="5B9BD5" w:themeColor="accent1"/>
            </w:tcBorders>
            <w:shd w:val="clear" w:color="auto" w:fill="auto"/>
            <w:vAlign w:val="center"/>
          </w:tcPr>
          <w:p w:rsidR="0023090F" w:rsidRPr="00D92217" w:rsidRDefault="0023090F" w:rsidP="009236E9">
            <w:pPr>
              <w:pStyle w:val="Beschriftung"/>
              <w:spacing w:after="0"/>
              <w:jc w:val="center"/>
              <w:rPr>
                <w:color w:val="000000" w:themeColor="text1"/>
                <w:sz w:val="20"/>
                <w:szCs w:val="20"/>
              </w:rPr>
            </w:pPr>
            <w:r w:rsidRPr="00D92217">
              <w:rPr>
                <w:color w:val="000000" w:themeColor="text1"/>
                <w:sz w:val="20"/>
                <w:szCs w:val="20"/>
              </w:rPr>
              <w:t>P: 210-221-305+351+338</w:t>
            </w:r>
          </w:p>
        </w:tc>
      </w:tr>
      <w:tr w:rsidR="0023090F" w:rsidRPr="009C5E28" w:rsidTr="009236E9">
        <w:trPr>
          <w:trHeight w:val="434"/>
        </w:trPr>
        <w:tc>
          <w:tcPr>
            <w:tcW w:w="3027" w:type="dxa"/>
            <w:gridSpan w:val="3"/>
            <w:tcBorders>
              <w:top w:val="single" w:sz="4" w:space="0" w:color="5B9BD5" w:themeColor="accent1"/>
            </w:tcBorders>
            <w:shd w:val="clear" w:color="auto" w:fill="auto"/>
            <w:vAlign w:val="center"/>
          </w:tcPr>
          <w:p w:rsidR="0023090F" w:rsidRPr="00746B7E" w:rsidRDefault="0023090F" w:rsidP="009236E9">
            <w:pPr>
              <w:spacing w:after="0" w:line="276" w:lineRule="auto"/>
              <w:jc w:val="center"/>
              <w:rPr>
                <w:color w:val="000000" w:themeColor="text1"/>
                <w:sz w:val="20"/>
                <w:szCs w:val="20"/>
                <w14:textOutline w14:w="9525" w14:cap="rnd" w14:cmpd="sng" w14:algn="ctr">
                  <w14:noFill/>
                  <w14:prstDash w14:val="solid"/>
                  <w14:bevel/>
                </w14:textOutline>
              </w:rPr>
            </w:pPr>
            <w:r>
              <w:rPr>
                <w:color w:val="000000" w:themeColor="text1"/>
                <w:sz w:val="20"/>
                <w:szCs w:val="20"/>
                <w14:textOutline w14:w="9525" w14:cap="rnd" w14:cmpd="sng" w14:algn="ctr">
                  <w14:noFill/>
                  <w14:prstDash w14:val="solid"/>
                  <w14:bevel/>
                </w14:textOutline>
              </w:rPr>
              <w:t>Zinkpulver</w:t>
            </w:r>
          </w:p>
        </w:tc>
        <w:tc>
          <w:tcPr>
            <w:tcW w:w="3177" w:type="dxa"/>
            <w:gridSpan w:val="3"/>
            <w:tcBorders>
              <w:top w:val="single" w:sz="4" w:space="0" w:color="5B9BD5" w:themeColor="accent1"/>
            </w:tcBorders>
            <w:shd w:val="clear" w:color="auto" w:fill="auto"/>
            <w:vAlign w:val="center"/>
          </w:tcPr>
          <w:p w:rsidR="0023090F" w:rsidRPr="00D92217" w:rsidRDefault="0023090F" w:rsidP="009236E9">
            <w:pPr>
              <w:pStyle w:val="Beschriftung"/>
              <w:spacing w:after="0"/>
              <w:jc w:val="center"/>
              <w:rPr>
                <w:color w:val="000000" w:themeColor="text1"/>
                <w:sz w:val="20"/>
                <w:szCs w:val="20"/>
              </w:rPr>
            </w:pPr>
            <w:r w:rsidRPr="00D92217">
              <w:rPr>
                <w:color w:val="000000" w:themeColor="text1"/>
                <w:sz w:val="20"/>
                <w:szCs w:val="20"/>
              </w:rPr>
              <w:t>H: 410</w:t>
            </w:r>
          </w:p>
        </w:tc>
        <w:tc>
          <w:tcPr>
            <w:tcW w:w="3118" w:type="dxa"/>
            <w:gridSpan w:val="3"/>
            <w:tcBorders>
              <w:top w:val="single" w:sz="4" w:space="0" w:color="5B9BD5" w:themeColor="accent1"/>
            </w:tcBorders>
            <w:shd w:val="clear" w:color="auto" w:fill="auto"/>
            <w:vAlign w:val="center"/>
          </w:tcPr>
          <w:p w:rsidR="0023090F" w:rsidRPr="00D92217" w:rsidRDefault="0023090F" w:rsidP="009236E9">
            <w:pPr>
              <w:pStyle w:val="Beschriftung"/>
              <w:spacing w:after="0"/>
              <w:jc w:val="center"/>
              <w:rPr>
                <w:color w:val="000000" w:themeColor="text1"/>
                <w:sz w:val="20"/>
                <w:szCs w:val="20"/>
              </w:rPr>
            </w:pPr>
            <w:r w:rsidRPr="00D92217">
              <w:rPr>
                <w:color w:val="000000" w:themeColor="text1"/>
                <w:sz w:val="20"/>
                <w:szCs w:val="20"/>
              </w:rPr>
              <w:t>P: 273</w:t>
            </w:r>
          </w:p>
        </w:tc>
      </w:tr>
      <w:tr w:rsidR="0023090F" w:rsidRPr="009C5E28" w:rsidTr="009236E9">
        <w:tc>
          <w:tcPr>
            <w:tcW w:w="1009" w:type="dxa"/>
            <w:tcBorders>
              <w:top w:val="single" w:sz="8" w:space="0" w:color="4F81BD"/>
              <w:left w:val="single" w:sz="8" w:space="0" w:color="4F81BD"/>
              <w:bottom w:val="single" w:sz="8" w:space="0" w:color="4F81BD"/>
            </w:tcBorders>
            <w:shd w:val="clear" w:color="auto" w:fill="auto"/>
            <w:vAlign w:val="center"/>
          </w:tcPr>
          <w:p w:rsidR="0023090F" w:rsidRPr="009C5E28" w:rsidRDefault="0023090F" w:rsidP="009236E9">
            <w:pPr>
              <w:spacing w:after="0"/>
              <w:jc w:val="center"/>
              <w:rPr>
                <w:b/>
                <w:bCs/>
              </w:rPr>
            </w:pPr>
            <w:r w:rsidRPr="00336881">
              <w:rPr>
                <w:rFonts w:asciiTheme="majorHAnsi" w:hAnsiTheme="majorHAnsi"/>
                <w:b/>
                <w:noProof/>
                <w:color w:val="auto"/>
                <w:lang w:eastAsia="de-DE"/>
              </w:rPr>
              <w:drawing>
                <wp:inline distT="0" distB="0" distL="0" distR="0" wp14:anchorId="374F9B0F" wp14:editId="03FC53E9">
                  <wp:extent cx="538061" cy="540000"/>
                  <wp:effectExtent l="0" t="0" r="0" b="0"/>
                  <wp:docPr id="70"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3090F" w:rsidRPr="009C5E28" w:rsidRDefault="0023090F" w:rsidP="009236E9">
            <w:pPr>
              <w:spacing w:after="0"/>
              <w:jc w:val="center"/>
            </w:pPr>
            <w:r>
              <w:rPr>
                <w:noProof/>
                <w:lang w:eastAsia="de-DE"/>
              </w:rPr>
              <w:drawing>
                <wp:inline distT="0" distB="0" distL="0" distR="0" wp14:anchorId="022BD3BC" wp14:editId="66668EB7">
                  <wp:extent cx="504825" cy="4953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04825"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3090F" w:rsidRPr="009C5E28" w:rsidRDefault="0023090F" w:rsidP="009236E9">
            <w:pPr>
              <w:spacing w:after="0"/>
              <w:jc w:val="center"/>
            </w:pPr>
            <w:r>
              <w:rPr>
                <w:noProof/>
                <w:lang w:eastAsia="de-DE"/>
              </w:rPr>
              <w:drawing>
                <wp:inline distT="0" distB="0" distL="0" distR="0" wp14:anchorId="077DDDE6" wp14:editId="02B67BC1">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3090F" w:rsidRPr="009C5E28" w:rsidRDefault="0023090F" w:rsidP="009236E9">
            <w:pPr>
              <w:spacing w:after="0"/>
              <w:jc w:val="center"/>
            </w:pPr>
            <w:r>
              <w:rPr>
                <w:noProof/>
                <w:lang w:eastAsia="de-DE"/>
              </w:rPr>
              <w:drawing>
                <wp:inline distT="0" distB="0" distL="0" distR="0" wp14:anchorId="2DB63B42" wp14:editId="430C29E5">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3090F" w:rsidRPr="009C5E28" w:rsidRDefault="0023090F" w:rsidP="009236E9">
            <w:pPr>
              <w:spacing w:after="0"/>
              <w:jc w:val="center"/>
            </w:pPr>
            <w:r>
              <w:rPr>
                <w:noProof/>
                <w:lang w:eastAsia="de-DE"/>
              </w:rPr>
              <w:drawing>
                <wp:inline distT="0" distB="0" distL="0" distR="0" wp14:anchorId="44B01BA5" wp14:editId="33216089">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3090F" w:rsidRPr="009C5E28" w:rsidRDefault="0023090F" w:rsidP="009236E9">
            <w:pPr>
              <w:spacing w:after="0"/>
              <w:jc w:val="center"/>
            </w:pPr>
            <w:r>
              <w:rPr>
                <w:noProof/>
                <w:lang w:eastAsia="de-DE"/>
              </w:rPr>
              <w:drawing>
                <wp:inline distT="0" distB="0" distL="0" distR="0" wp14:anchorId="22812836" wp14:editId="4FF05B2F">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3090F" w:rsidRPr="009C5E28" w:rsidRDefault="0023090F" w:rsidP="009236E9">
            <w:pPr>
              <w:spacing w:after="0"/>
              <w:jc w:val="center"/>
            </w:pPr>
            <w:r>
              <w:rPr>
                <w:noProof/>
                <w:lang w:eastAsia="de-DE"/>
              </w:rPr>
              <w:drawing>
                <wp:inline distT="0" distB="0" distL="0" distR="0" wp14:anchorId="52E7036C" wp14:editId="037B2EEA">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3090F" w:rsidRPr="009C5E28" w:rsidRDefault="0023090F" w:rsidP="009236E9">
            <w:pPr>
              <w:spacing w:after="0"/>
              <w:jc w:val="center"/>
            </w:pPr>
            <w:r>
              <w:rPr>
                <w:noProof/>
                <w:lang w:eastAsia="de-DE"/>
              </w:rPr>
              <w:drawing>
                <wp:inline distT="0" distB="0" distL="0" distR="0" wp14:anchorId="27C370F8" wp14:editId="0FD1A925">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3090F" w:rsidRPr="009C5E28" w:rsidRDefault="0023090F" w:rsidP="009236E9">
            <w:pPr>
              <w:spacing w:after="0"/>
              <w:jc w:val="center"/>
            </w:pPr>
            <w:r w:rsidRPr="00336881">
              <w:rPr>
                <w:rFonts w:asciiTheme="majorHAnsi" w:hAnsiTheme="majorHAnsi"/>
                <w:noProof/>
                <w:lang w:eastAsia="de-DE"/>
              </w:rPr>
              <w:drawing>
                <wp:inline distT="0" distB="0" distL="0" distR="0" wp14:anchorId="7952BC1E" wp14:editId="7607B645">
                  <wp:extent cx="539491" cy="540000"/>
                  <wp:effectExtent l="0" t="0" r="0" b="0"/>
                  <wp:docPr id="203"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23090F" w:rsidRDefault="0023090F" w:rsidP="0023090F">
      <w:pPr>
        <w:tabs>
          <w:tab w:val="left" w:pos="1701"/>
          <w:tab w:val="left" w:pos="1985"/>
        </w:tabs>
        <w:ind w:left="1980" w:hanging="1980"/>
      </w:pPr>
    </w:p>
    <w:p w:rsidR="0023090F" w:rsidRDefault="0023090F" w:rsidP="0023090F">
      <w:pPr>
        <w:tabs>
          <w:tab w:val="left" w:pos="1701"/>
          <w:tab w:val="left" w:pos="1985"/>
        </w:tabs>
        <w:ind w:left="1980" w:hanging="1980"/>
      </w:pPr>
      <w:r>
        <w:t xml:space="preserve">Materialien: </w:t>
      </w:r>
      <w:r>
        <w:tab/>
      </w:r>
      <w:r>
        <w:tab/>
        <w:t>250 </w:t>
      </w:r>
      <w:proofErr w:type="spellStart"/>
      <w:r>
        <w:t>mL</w:t>
      </w:r>
      <w:proofErr w:type="spellEnd"/>
      <w:r>
        <w:t xml:space="preserve"> Becherglas, </w:t>
      </w:r>
      <w:proofErr w:type="spellStart"/>
      <w:r>
        <w:t>Isoplanplatte</w:t>
      </w:r>
      <w:proofErr w:type="spellEnd"/>
      <w:r>
        <w:t>, Wasser</w:t>
      </w:r>
    </w:p>
    <w:p w:rsidR="0023090F" w:rsidRPr="00ED07C2" w:rsidRDefault="0023090F" w:rsidP="0023090F">
      <w:pPr>
        <w:tabs>
          <w:tab w:val="left" w:pos="1701"/>
          <w:tab w:val="left" w:pos="1985"/>
        </w:tabs>
        <w:ind w:left="1980" w:hanging="1980"/>
      </w:pPr>
      <w:r>
        <w:t>Chemikalien:</w:t>
      </w:r>
      <w:r>
        <w:tab/>
      </w:r>
      <w:r>
        <w:tab/>
        <w:t>Ammoniumnitrat, Ammoniumchlorid, Calciumnitrat-</w:t>
      </w:r>
      <w:proofErr w:type="spellStart"/>
      <w:r>
        <w:t>Tetrahydrat</w:t>
      </w:r>
      <w:proofErr w:type="spellEnd"/>
      <w:r>
        <w:t xml:space="preserve">, Zink-  </w:t>
      </w:r>
      <w:proofErr w:type="spellStart"/>
      <w:r>
        <w:t>pulver</w:t>
      </w:r>
      <w:proofErr w:type="spellEnd"/>
    </w:p>
    <w:p w:rsidR="0023090F" w:rsidRDefault="0023090F" w:rsidP="0023090F">
      <w:pPr>
        <w:tabs>
          <w:tab w:val="left" w:pos="1701"/>
          <w:tab w:val="left" w:pos="1985"/>
        </w:tabs>
        <w:ind w:left="1980" w:hanging="1980"/>
      </w:pPr>
      <w:r>
        <w:t xml:space="preserve">Durchführung: </w:t>
      </w:r>
      <w:r>
        <w:tab/>
      </w:r>
      <w:r>
        <w:tab/>
      </w:r>
      <w:r>
        <w:tab/>
        <w:t>1. Variante: In ein Becherglas werden 1,000 g Ammoniumnitrat, 0,125 g Ammoniumchlorid und 0,250 g Calciumnitrat-</w:t>
      </w:r>
      <w:proofErr w:type="spellStart"/>
      <w:r>
        <w:t>Tetrahydrat</w:t>
      </w:r>
      <w:proofErr w:type="spellEnd"/>
      <w:r>
        <w:t xml:space="preserve"> gegeben und durch kräftiges Schütteln miteinander vermischt. Unmittelbar vor der Reaktion wird das Zinkpulver zu den anderen Feststoffen gegeben und ebenfalls durch kräftiges Schütteln mit ihnen vermischt. Nach Verteilung des Gemischs auf der </w:t>
      </w:r>
      <w:proofErr w:type="spellStart"/>
      <w:r>
        <w:t>Isoplanplatte</w:t>
      </w:r>
      <w:proofErr w:type="spellEnd"/>
      <w:r>
        <w:t xml:space="preserve"> werden einige Tropfen Wasser auf das Feststoffgemisch getropft.</w:t>
      </w:r>
    </w:p>
    <w:p w:rsidR="0023090F" w:rsidRDefault="0023090F" w:rsidP="0023090F">
      <w:pPr>
        <w:tabs>
          <w:tab w:val="left" w:pos="1701"/>
          <w:tab w:val="left" w:pos="1985"/>
        </w:tabs>
        <w:ind w:left="1980" w:hanging="1980"/>
      </w:pPr>
      <w:r>
        <w:tab/>
        <w:t xml:space="preserve">     2. Variante: Gleich zur 1. Variante, allerdings wird das Calciumnitrat-</w:t>
      </w:r>
      <w:proofErr w:type="spellStart"/>
      <w:r>
        <w:t>Tetrahydrat</w:t>
      </w:r>
      <w:proofErr w:type="spellEnd"/>
      <w:r>
        <w:t xml:space="preserve"> weggelassen.</w:t>
      </w:r>
    </w:p>
    <w:p w:rsidR="0023090F" w:rsidRDefault="0023090F" w:rsidP="0023090F">
      <w:pPr>
        <w:tabs>
          <w:tab w:val="left" w:pos="1701"/>
          <w:tab w:val="left" w:pos="1985"/>
        </w:tabs>
        <w:ind w:left="1980" w:hanging="1980"/>
      </w:pPr>
      <w:r>
        <w:t>Beobachtung:</w:t>
      </w:r>
      <w:r>
        <w:tab/>
      </w:r>
      <w:r>
        <w:tab/>
      </w:r>
      <w:r>
        <w:tab/>
        <w:t>Nach einigen Sekunden beginnt das graue Feststoffgemisch zu schäumen. Wenige Sekunden später leuchtet das Gemisch in hellblauer Flamme auf und beginnt stark zu rauchen.</w:t>
      </w:r>
    </w:p>
    <w:p w:rsidR="0023090F" w:rsidRDefault="0023090F" w:rsidP="0023090F">
      <w:pPr>
        <w:tabs>
          <w:tab w:val="left" w:pos="1701"/>
          <w:tab w:val="left" w:pos="1985"/>
        </w:tabs>
      </w:pPr>
      <w:r>
        <w:tab/>
        <w:t xml:space="preserve">     1. Variante: Das Feststoffgemisch verbrennt vollständig zu einem weiß-</w:t>
      </w:r>
      <w:r>
        <w:br/>
      </w:r>
      <w:r>
        <w:tab/>
        <w:t xml:space="preserve">     gelblichen, löchrigen Feststoff.</w:t>
      </w:r>
    </w:p>
    <w:p w:rsidR="0023090F" w:rsidRDefault="0023090F" w:rsidP="0023090F">
      <w:pPr>
        <w:tabs>
          <w:tab w:val="left" w:pos="1701"/>
          <w:tab w:val="left" w:pos="1985"/>
        </w:tabs>
      </w:pPr>
      <w:r>
        <w:lastRenderedPageBreak/>
        <w:tab/>
        <w:t xml:space="preserve">     2. Variante: Das Gemisch verbrennt unvollständig zu einem weißen-</w:t>
      </w:r>
      <w:r>
        <w:br/>
      </w:r>
      <w:r>
        <w:tab/>
        <w:t xml:space="preserve">     gelblichen, löchrigen Feststoff. Die grauen Rückstände lassen sich durch </w:t>
      </w:r>
      <w:r>
        <w:br/>
      </w:r>
      <w:r>
        <w:tab/>
        <w:t xml:space="preserve">     weitere Wassertropfen nicht mehr entzünden.</w:t>
      </w:r>
    </w:p>
    <w:p w:rsidR="0023090F" w:rsidRDefault="0023090F" w:rsidP="0023090F">
      <w:pPr>
        <w:keepNext/>
        <w:tabs>
          <w:tab w:val="left" w:pos="1701"/>
          <w:tab w:val="left" w:pos="1985"/>
        </w:tabs>
        <w:ind w:left="1980" w:hanging="1980"/>
      </w:pPr>
      <w:r>
        <w:t xml:space="preserve">                    </w:t>
      </w:r>
      <w:r>
        <w:rPr>
          <w:noProof/>
          <w:lang w:eastAsia="de-DE"/>
        </w:rPr>
        <w:drawing>
          <wp:inline distT="0" distB="0" distL="0" distR="0" wp14:anchorId="20E85A26" wp14:editId="0CD718A2">
            <wp:extent cx="1817288" cy="1847215"/>
            <wp:effectExtent l="0" t="0" r="0" b="63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vlcsnap-2016-07-21-21h04m06s444.png"/>
                    <pic:cNvPicPr/>
                  </pic:nvPicPr>
                  <pic:blipFill>
                    <a:blip r:embed="rId14">
                      <a:extLst>
                        <a:ext uri="{28A0092B-C50C-407E-A947-70E740481C1C}">
                          <a14:useLocalDpi xmlns:a14="http://schemas.microsoft.com/office/drawing/2010/main"/>
                        </a:ext>
                      </a:extLst>
                    </a:blip>
                    <a:stretch>
                      <a:fillRect/>
                    </a:stretch>
                  </pic:blipFill>
                  <pic:spPr>
                    <a:xfrm>
                      <a:off x="0" y="0"/>
                      <a:ext cx="1835863" cy="1866096"/>
                    </a:xfrm>
                    <a:prstGeom prst="rect">
                      <a:avLst/>
                    </a:prstGeom>
                  </pic:spPr>
                </pic:pic>
              </a:graphicData>
            </a:graphic>
          </wp:inline>
        </w:drawing>
      </w:r>
      <w:r>
        <w:t xml:space="preserve">    </w:t>
      </w:r>
      <w:r>
        <w:rPr>
          <w:noProof/>
          <w:lang w:eastAsia="de-DE"/>
        </w:rPr>
        <w:drawing>
          <wp:inline distT="0" distB="0" distL="0" distR="0" wp14:anchorId="32D8B480" wp14:editId="3E916E70">
            <wp:extent cx="914400" cy="1867388"/>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vlcsnap-2016-07-21-19h55m47s544.png"/>
                    <pic:cNvPicPr/>
                  </pic:nvPicPr>
                  <pic:blipFill>
                    <a:blip r:embed="rId15" cstate="print">
                      <a:extLst>
                        <a:ext uri="{28A0092B-C50C-407E-A947-70E740481C1C}">
                          <a14:useLocalDpi xmlns:a14="http://schemas.microsoft.com/office/drawing/2010/main"/>
                        </a:ext>
                      </a:extLst>
                    </a:blip>
                    <a:stretch>
                      <a:fillRect/>
                    </a:stretch>
                  </pic:blipFill>
                  <pic:spPr>
                    <a:xfrm>
                      <a:off x="0" y="0"/>
                      <a:ext cx="926991" cy="1893102"/>
                    </a:xfrm>
                    <a:prstGeom prst="rect">
                      <a:avLst/>
                    </a:prstGeom>
                  </pic:spPr>
                </pic:pic>
              </a:graphicData>
            </a:graphic>
          </wp:inline>
        </w:drawing>
      </w:r>
      <w:r>
        <w:t xml:space="preserve">    </w:t>
      </w:r>
      <w:r>
        <w:rPr>
          <w:noProof/>
          <w:lang w:eastAsia="de-DE"/>
        </w:rPr>
        <w:drawing>
          <wp:inline distT="0" distB="0" distL="0" distR="0" wp14:anchorId="6C4693A7" wp14:editId="6A9B6D1E">
            <wp:extent cx="1555364" cy="1857375"/>
            <wp:effectExtent l="0" t="0" r="698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vlcsnap-2016-07-21-21h05m31s731.png"/>
                    <pic:cNvPicPr/>
                  </pic:nvPicPr>
                  <pic:blipFill>
                    <a:blip r:embed="rId16" cstate="print">
                      <a:extLst>
                        <a:ext uri="{28A0092B-C50C-407E-A947-70E740481C1C}">
                          <a14:useLocalDpi xmlns:a14="http://schemas.microsoft.com/office/drawing/2010/main"/>
                        </a:ext>
                      </a:extLst>
                    </a:blip>
                    <a:stretch>
                      <a:fillRect/>
                    </a:stretch>
                  </pic:blipFill>
                  <pic:spPr>
                    <a:xfrm>
                      <a:off x="0" y="0"/>
                      <a:ext cx="1572703" cy="1878081"/>
                    </a:xfrm>
                    <a:prstGeom prst="rect">
                      <a:avLst/>
                    </a:prstGeom>
                  </pic:spPr>
                </pic:pic>
              </a:graphicData>
            </a:graphic>
          </wp:inline>
        </w:drawing>
      </w:r>
    </w:p>
    <w:p w:rsidR="0023090F" w:rsidRDefault="0023090F" w:rsidP="0023090F">
      <w:pPr>
        <w:pStyle w:val="Beschriftung"/>
        <w:jc w:val="center"/>
      </w:pPr>
      <w:r>
        <w:t xml:space="preserve">Abb. </w:t>
      </w:r>
      <w:r>
        <w:fldChar w:fldCharType="begin"/>
      </w:r>
      <w:r>
        <w:instrText xml:space="preserve"> SEQ Abb. \* ARABIC </w:instrText>
      </w:r>
      <w:r>
        <w:fldChar w:fldCharType="separate"/>
      </w:r>
      <w:r>
        <w:rPr>
          <w:noProof/>
        </w:rPr>
        <w:t>1</w:t>
      </w:r>
      <w:r>
        <w:rPr>
          <w:noProof/>
        </w:rPr>
        <w:fldChar w:fldCharType="end"/>
      </w:r>
      <w:r>
        <w:t xml:space="preserve"> - </w:t>
      </w:r>
      <w:r>
        <w:rPr>
          <w:noProof/>
        </w:rPr>
        <w:t xml:space="preserve"> Feststoffgemisch vor der Wasserzugabe, Gemisch während des Brennens, Feststoffgemisch nach Verbrennnung (oben: Variante 1, unten: Variante 2).</w:t>
      </w:r>
    </w:p>
    <w:p w:rsidR="0023090F" w:rsidRDefault="0023090F" w:rsidP="0023090F">
      <w:pPr>
        <w:tabs>
          <w:tab w:val="left" w:pos="1701"/>
          <w:tab w:val="left" w:pos="1985"/>
        </w:tabs>
        <w:ind w:left="2124" w:hanging="2124"/>
      </w:pPr>
      <w:r>
        <w:t>Deutung:</w:t>
      </w:r>
      <w:r>
        <w:tab/>
      </w:r>
      <w:r>
        <w:tab/>
      </w:r>
      <w:r>
        <w:tab/>
        <w:t>Durch das Hinzufügen des Wassers wird eine Reaktion ausgelöst, die zum Entzünden des Gemischs führt. Bei der Reaktion entsteht mindestens ein Gas, welches für das Schäumen vor der Entzündung verantwortlich ist.</w:t>
      </w:r>
    </w:p>
    <w:p w:rsidR="0023090F" w:rsidRDefault="0023090F" w:rsidP="0023090F">
      <w:pPr>
        <w:tabs>
          <w:tab w:val="left" w:pos="1701"/>
          <w:tab w:val="left" w:pos="1985"/>
        </w:tabs>
        <w:ind w:left="2124" w:hanging="2124"/>
      </w:pPr>
      <w:r>
        <w:tab/>
      </w:r>
      <w:r>
        <w:tab/>
      </w:r>
      <w:r>
        <w:tab/>
        <w:t>Auf Oberstufenniveau: Durch das Hinzufügen von Wasser wird eine starke, exotherme Reaktion (durch die Anwesenheit von Chlorid-Ionen aus dem Ammoniumchlorid noch verstärkt) zwischen dem Zink und dem Ammoniumnitrat ausgelöst. Bei dem entstehenden Gas handelt es sich um Stickstoff.</w:t>
      </w:r>
    </w:p>
    <w:p w:rsidR="0023090F" w:rsidRDefault="0023090F" w:rsidP="0023090F">
      <w:pPr>
        <w:tabs>
          <w:tab w:val="left" w:pos="1701"/>
          <w:tab w:val="left" w:pos="1985"/>
        </w:tabs>
        <w:ind w:left="2124" w:hanging="2124"/>
        <w:rPr>
          <w:rFonts w:eastAsiaTheme="minorEastAsia"/>
        </w:rPr>
      </w:pPr>
      <w:r>
        <w:tab/>
      </w:r>
      <w:r>
        <w:tab/>
      </w:r>
      <w:r>
        <w:tab/>
      </w:r>
      <m:oMath>
        <m:sSub>
          <m:sSubPr>
            <m:ctrlPr>
              <w:rPr>
                <w:rFonts w:ascii="Cambria Math" w:hAnsi="Cambria Math"/>
                <w:i/>
              </w:rPr>
            </m:ctrlPr>
          </m:sSubPr>
          <m:e>
            <m:r>
              <w:rPr>
                <w:rFonts w:ascii="Cambria Math" w:hAnsi="Cambria Math"/>
              </w:rPr>
              <m:t>Zn</m:t>
            </m:r>
          </m:e>
          <m:sub>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NH</m:t>
            </m:r>
          </m:e>
          <m:sub>
            <m:r>
              <w:rPr>
                <w:rFonts w:ascii="Cambria Math" w:hAnsi="Cambria Math"/>
              </w:rPr>
              <m:t>4</m:t>
            </m:r>
          </m:sub>
        </m:sSub>
        <m:sSub>
          <m:sSubPr>
            <m:ctrlPr>
              <w:rPr>
                <w:rFonts w:ascii="Cambria Math" w:hAnsi="Cambria Math"/>
                <w:i/>
              </w:rPr>
            </m:ctrlPr>
          </m:sSubPr>
          <m:e>
            <m:r>
              <w:rPr>
                <w:rFonts w:ascii="Cambria Math" w:hAnsi="Cambria Math"/>
              </w:rPr>
              <m:t>NO</m:t>
            </m:r>
          </m:e>
          <m:sub>
            <m:r>
              <w:rPr>
                <w:rFonts w:ascii="Cambria Math" w:hAnsi="Cambria Math"/>
              </w:rPr>
              <m:t>3(s)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2(g)</m:t>
            </m:r>
          </m:sub>
        </m:sSub>
        <m:r>
          <w:rPr>
            <w:rFonts w:ascii="Cambria Math" w:hAnsi="Cambria Math"/>
          </w:rPr>
          <m:t>+</m:t>
        </m:r>
        <m:sSub>
          <m:sSubPr>
            <m:ctrlPr>
              <w:rPr>
                <w:rFonts w:ascii="Cambria Math" w:hAnsi="Cambria Math"/>
                <w:i/>
              </w:rPr>
            </m:ctrlPr>
          </m:sSubPr>
          <m:e>
            <m:r>
              <w:rPr>
                <w:rFonts w:ascii="Cambria Math" w:hAnsi="Cambria Math"/>
              </w:rPr>
              <m:t>ZnO</m:t>
            </m:r>
          </m:e>
          <m:sub>
            <m:r>
              <w:rPr>
                <w:rFonts w:ascii="Cambria Math" w:hAnsi="Cambria Math"/>
              </w:rPr>
              <m:t>(s)</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2 H</m:t>
                </m:r>
              </m:e>
              <m:sub>
                <m:r>
                  <w:rPr>
                    <w:rFonts w:ascii="Cambria Math" w:hAnsi="Cambria Math"/>
                  </w:rPr>
                  <m:t>2</m:t>
                </m:r>
              </m:sub>
            </m:sSub>
            <m:r>
              <w:rPr>
                <w:rFonts w:ascii="Cambria Math" w:hAnsi="Cambria Math"/>
              </w:rPr>
              <m:t>O</m:t>
            </m:r>
          </m:e>
          <m:sub>
            <m:r>
              <w:rPr>
                <w:rFonts w:ascii="Cambria Math" w:hAnsi="Cambria Math"/>
              </w:rPr>
              <m:t>(l)</m:t>
            </m:r>
          </m:sub>
        </m:sSub>
      </m:oMath>
    </w:p>
    <w:p w:rsidR="0023090F" w:rsidRDefault="0023090F" w:rsidP="0023090F">
      <w:pPr>
        <w:spacing w:line="276" w:lineRule="auto"/>
        <w:jc w:val="left"/>
      </w:pPr>
      <w:r>
        <w:t>Entsorgung:</w:t>
      </w:r>
      <w:r>
        <w:tab/>
        <w:t xml:space="preserve">           </w:t>
      </w:r>
      <w:r>
        <w:tab/>
        <w:t>Die Entsorgung des Rückstandes erfolgt im anorganischen Sondermüll.</w:t>
      </w:r>
    </w:p>
    <w:p w:rsidR="0023090F" w:rsidRPr="005B60E3" w:rsidRDefault="0023090F" w:rsidP="0023090F">
      <w:pPr>
        <w:spacing w:line="276" w:lineRule="auto"/>
        <w:ind w:left="1416" w:hanging="1416"/>
        <w:jc w:val="left"/>
        <w:rPr>
          <w:rFonts w:asciiTheme="majorHAnsi" w:eastAsiaTheme="majorEastAsia" w:hAnsiTheme="majorHAnsi" w:cstheme="majorBidi"/>
          <w:b/>
          <w:bCs/>
          <w:sz w:val="28"/>
          <w:szCs w:val="28"/>
        </w:rPr>
      </w:pPr>
      <w:r>
        <w:t>Literatur:</w:t>
      </w:r>
      <w:r>
        <w:tab/>
      </w:r>
      <w:r>
        <w:tab/>
      </w:r>
      <w:r>
        <w:rPr>
          <w:color w:val="auto"/>
        </w:rPr>
        <w:t xml:space="preserve">[1] F. R. </w:t>
      </w:r>
      <w:proofErr w:type="spellStart"/>
      <w:r>
        <w:rPr>
          <w:color w:val="auto"/>
        </w:rPr>
        <w:t>Kreißl</w:t>
      </w:r>
      <w:proofErr w:type="spellEnd"/>
      <w:r>
        <w:rPr>
          <w:color w:val="auto"/>
        </w:rPr>
        <w:t xml:space="preserve">, O. Krätz, Feuer und Flamme, Schall und Rauch, </w:t>
      </w:r>
      <w:proofErr w:type="spellStart"/>
      <w:r>
        <w:rPr>
          <w:color w:val="auto"/>
        </w:rPr>
        <w:t>Wiley</w:t>
      </w:r>
      <w:proofErr w:type="spellEnd"/>
      <w:r>
        <w:rPr>
          <w:color w:val="auto"/>
        </w:rPr>
        <w:t xml:space="preserve">-VCH, </w:t>
      </w:r>
      <w:r>
        <w:rPr>
          <w:color w:val="auto"/>
        </w:rPr>
        <w:tab/>
        <w:t>2. Auflage, 2008, S. 97.</w:t>
      </w:r>
    </w:p>
    <w:p w:rsidR="0023090F" w:rsidRDefault="0023090F" w:rsidP="0023090F">
      <w:pPr>
        <w:tabs>
          <w:tab w:val="left" w:pos="1701"/>
          <w:tab w:val="left" w:pos="1985"/>
        </w:tabs>
        <w:ind w:left="1980" w:hanging="1980"/>
      </w:pPr>
    </w:p>
    <w:p w:rsidR="0023090F" w:rsidRDefault="0023090F" w:rsidP="0023090F">
      <w:pPr>
        <w:tabs>
          <w:tab w:val="left" w:pos="1701"/>
          <w:tab w:val="left" w:pos="1985"/>
        </w:tabs>
        <w:ind w:left="1980" w:hanging="1980"/>
      </w:pPr>
      <w:r>
        <w:rPr>
          <w:noProof/>
          <w:lang w:eastAsia="de-DE"/>
        </w:rPr>
        <mc:AlternateContent>
          <mc:Choice Requires="wps">
            <w:drawing>
              <wp:inline distT="0" distB="0" distL="0" distR="0" wp14:anchorId="67B6170D" wp14:editId="4F9F30ED">
                <wp:extent cx="5873115" cy="1266825"/>
                <wp:effectExtent l="0" t="0" r="13335" b="28575"/>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668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090F" w:rsidRPr="00F31EBF" w:rsidRDefault="0023090F" w:rsidP="0023090F">
                            <w:pPr>
                              <w:rPr>
                                <w:color w:val="auto"/>
                              </w:rPr>
                            </w:pPr>
                            <w:r w:rsidRPr="00F31EBF">
                              <w:rPr>
                                <w:b/>
                                <w:color w:val="auto"/>
                              </w:rPr>
                              <w:t xml:space="preserve">Unterrichtsanschlüsse </w:t>
                            </w:r>
                            <w:r>
                              <w:rPr>
                                <w:color w:val="auto"/>
                              </w:rPr>
                              <w:t>Durch die Möglichkeit der Nutzung von Erd- und Alkalimetalle zur Beeinflussung der Flammenfärbung, können in höheren Klassenstufen die Flammenfärbungen von diesen mithilfe des Versuchs untersucht werden. Ansonsten kann der Versuch verwendet werden, um ein Erreichen der Zündtemperatur ohne Feuerzufuhr zu demonstrieren (in Bezug zum Feuerdreieck).</w:t>
                            </w:r>
                          </w:p>
                        </w:txbxContent>
                      </wps:txbx>
                      <wps:bodyPr rot="0" vert="horz" wrap="square" lIns="91440" tIns="45720" rIns="91440" bIns="45720" anchor="t" anchorCtr="0" upright="1">
                        <a:noAutofit/>
                      </wps:bodyPr>
                    </wps:wsp>
                  </a:graphicData>
                </a:graphic>
              </wp:inline>
            </w:drawing>
          </mc:Choice>
          <mc:Fallback>
            <w:pict>
              <v:shape w14:anchorId="67B6170D" id="Text Box 131" o:spid="_x0000_s1027" type="#_x0000_t202" style="width:462.4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" fillcolor="white [3201]" strokecolor="#ed7d31 [3205]" strokeweight="1pt">
                <v:stroke dashstyle="dash"/>
                <v:shadow color="#868686"/>
                <v:textbox>
                  <w:txbxContent>
                    <w:p w:rsidR="0023090F" w:rsidRPr="00F31EBF" w:rsidRDefault="0023090F" w:rsidP="0023090F">
                      <w:pPr>
                        <w:rPr>
                          <w:color w:val="auto"/>
                        </w:rPr>
                      </w:pPr>
                      <w:r w:rsidRPr="00F31EBF">
                        <w:rPr>
                          <w:b/>
                          <w:color w:val="auto"/>
                        </w:rPr>
                        <w:t xml:space="preserve">Unterrichtsanschlüsse </w:t>
                      </w:r>
                      <w:r>
                        <w:rPr>
                          <w:color w:val="auto"/>
                        </w:rPr>
                        <w:t>Durch die Möglichkeit der Nutzung von Erd- und Alkalimetalle zur Beeinflussung der Flammenfärbung, können in höheren Klassenstufen die Flammenfärbungen von diesen mithilfe des Versuchs untersucht werden. Ansonsten kann der Versuch verwendet werden, um ein Erreichen der Zündtemperatur ohne Feuerzufuhr zu demonstrieren (in Bezug zum Feuerdreieck).</w:t>
                      </w:r>
                    </w:p>
                  </w:txbxContent>
                </v:textbox>
                <w10:anchorlock/>
              </v:shape>
            </w:pict>
          </mc:Fallback>
        </mc:AlternateContent>
      </w:r>
    </w:p>
    <w:p w:rsidR="00EB619B" w:rsidRDefault="0023090F"/>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0F"/>
    <w:rsid w:val="000C761C"/>
    <w:rsid w:val="00125E17"/>
    <w:rsid w:val="00176474"/>
    <w:rsid w:val="0023090F"/>
    <w:rsid w:val="0034208B"/>
    <w:rsid w:val="003E3AD9"/>
    <w:rsid w:val="00641C7C"/>
    <w:rsid w:val="006B6773"/>
    <w:rsid w:val="006E23EA"/>
    <w:rsid w:val="007633FF"/>
    <w:rsid w:val="00855922"/>
    <w:rsid w:val="00990B4C"/>
    <w:rsid w:val="00A22302"/>
    <w:rsid w:val="00BF1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8886"/>
  <w15:chartTrackingRefBased/>
  <w15:docId w15:val="{1FAA6FBC-C17A-419D-BFFF-3F7C3530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23090F"/>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23090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3090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3090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3090F"/>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23090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23090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23090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3090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309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090F"/>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23090F"/>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23090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23090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23090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23090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23090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3090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3090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3090F"/>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2102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1</cp:revision>
  <dcterms:created xsi:type="dcterms:W3CDTF">2016-08-08T18:11:00Z</dcterms:created>
  <dcterms:modified xsi:type="dcterms:W3CDTF">2016-08-08T18:14:00Z</dcterms:modified>
</cp:coreProperties>
</file>