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6F" w:rsidRPr="00733ADD" w:rsidRDefault="00E0206F" w:rsidP="00E0206F">
      <w:pPr>
        <w:pStyle w:val="berschrift2"/>
        <w:rPr>
          <w:color w:val="auto"/>
        </w:rPr>
      </w:pPr>
      <w:bookmarkStart w:id="0" w:name="_Toc457302143"/>
      <w:r>
        <w:rPr>
          <w:noProof/>
          <w:lang w:eastAsia="de-DE"/>
        </w:rPr>
        <mc:AlternateContent>
          <mc:Choice Requires="wps">
            <w:drawing>
              <wp:anchor distT="0" distB="0" distL="114300" distR="114300" simplePos="0" relativeHeight="251659264" behindDoc="0" locked="0" layoutInCell="1" allowOverlap="1" wp14:anchorId="185E8E98" wp14:editId="7E911EA1">
                <wp:simplePos x="0" y="0"/>
                <wp:positionH relativeFrom="margin">
                  <wp:align>left</wp:align>
                </wp:positionH>
                <wp:positionV relativeFrom="paragraph">
                  <wp:posOffset>393065</wp:posOffset>
                </wp:positionV>
                <wp:extent cx="5873115" cy="1009650"/>
                <wp:effectExtent l="0" t="0" r="13335" b="19050"/>
                <wp:wrapSquare wrapText="bothSides"/>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206F" w:rsidRPr="00F31EBF" w:rsidRDefault="00E0206F" w:rsidP="00E0206F">
                            <w:pPr>
                              <w:rPr>
                                <w:color w:val="auto"/>
                              </w:rPr>
                            </w:pPr>
                            <w:r>
                              <w:rPr>
                                <w:color w:val="auto"/>
                              </w:rPr>
                              <w:t>Bei diesem Versuch sollen die SuS erkennen, dass ein bekanntes brennbares Material durch den Einsatz eines Ethanol-Wasser-Gemisches eine kurzzeitige Feuereinwirkung unbeschadet überstehen kann. Dies ist abhängig von der Verbrennungswärme der beteiligten Chemikalien und Materialien.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5E8E98" id="_x0000_t202" coordsize="21600,21600" o:spt="202" path="m,l,21600r21600,l21600,xe">
                <v:stroke joinstyle="miter"/>
                <v:path gradientshapeok="t" o:connecttype="rect"/>
              </v:shapetype>
              <v:shape id="Text Box 60" o:spid="_x0000_s1026" type="#_x0000_t202" style="position:absolute;left:0;text-align:left;margin-left:0;margin-top:30.95pt;width:462.45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" fillcolor="white [3201]" strokecolor="#4472c4 [3208]" strokeweight="1pt">
                <v:stroke dashstyle="dash"/>
                <v:shadow color="#868686"/>
                <v:textbox>
                  <w:txbxContent>
                    <w:p w:rsidR="00E0206F" w:rsidRPr="00F31EBF" w:rsidRDefault="00E0206F" w:rsidP="00E0206F">
                      <w:pPr>
                        <w:rPr>
                          <w:color w:val="auto"/>
                        </w:rPr>
                      </w:pPr>
                      <w:r>
                        <w:rPr>
                          <w:color w:val="auto"/>
                        </w:rPr>
                        <w:t>Bei diesem Versuch sollen die SuS erkennen, dass ein bekanntes brennbares Material durch den Einsatz eines Ethanol-Wasser-Gemisches eine kurzzeitige Feuereinwirkung unbeschadet überstehen kann. Dies ist abhängig von der Verbrennungswärme der beteiligten Chemikalien und Materialien.</w:t>
                      </w:r>
                    </w:p>
                  </w:txbxContent>
                </v:textbox>
                <w10:wrap type="square" anchorx="margin"/>
              </v:shape>
            </w:pict>
          </mc:Fallback>
        </mc:AlternateContent>
      </w:r>
      <w:r w:rsidRPr="00CC307A">
        <w:rPr>
          <w:color w:val="auto"/>
        </w:rPr>
        <w:t xml:space="preserve">V2 – </w:t>
      </w:r>
      <w:bookmarkStart w:id="1" w:name="_GoBack"/>
      <w:r>
        <w:rPr>
          <w:color w:val="auto"/>
        </w:rPr>
        <w:t xml:space="preserve">Brennendes Baumwollstück / Brennendes </w:t>
      </w:r>
      <w:proofErr w:type="gramStart"/>
      <w:r>
        <w:rPr>
          <w:color w:val="auto"/>
        </w:rPr>
        <w:t>Papierstück</w:t>
      </w:r>
      <w:bookmarkEnd w:id="1"/>
      <w:r>
        <w:rPr>
          <w:color w:val="auto"/>
          <w:vertAlign w:val="superscript"/>
        </w:rPr>
        <w:t>[</w:t>
      </w:r>
      <w:proofErr w:type="gramEnd"/>
      <w:r>
        <w:rPr>
          <w:color w:val="auto"/>
          <w:vertAlign w:val="superscript"/>
        </w:rPr>
        <w:t>2]</w:t>
      </w:r>
      <w:bookmarkEnd w:id="0"/>
    </w:p>
    <w:p w:rsidR="00E0206F" w:rsidRDefault="00E0206F" w:rsidP="00E0206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0206F" w:rsidRPr="009C5E28" w:rsidTr="009236E9">
        <w:tc>
          <w:tcPr>
            <w:tcW w:w="9322" w:type="dxa"/>
            <w:gridSpan w:val="9"/>
            <w:shd w:val="clear" w:color="auto" w:fill="4F81BD"/>
            <w:vAlign w:val="center"/>
          </w:tcPr>
          <w:p w:rsidR="00E0206F" w:rsidRPr="00F31EBF" w:rsidRDefault="00E0206F" w:rsidP="009236E9">
            <w:pPr>
              <w:spacing w:after="0"/>
              <w:jc w:val="center"/>
              <w:rPr>
                <w:b/>
                <w:bCs/>
                <w:color w:val="FFFFFF" w:themeColor="background1"/>
              </w:rPr>
            </w:pPr>
            <w:r w:rsidRPr="00F31EBF">
              <w:rPr>
                <w:b/>
                <w:bCs/>
                <w:color w:val="FFFFFF" w:themeColor="background1"/>
              </w:rPr>
              <w:t>Gefahrenstoffe</w:t>
            </w:r>
          </w:p>
        </w:tc>
      </w:tr>
      <w:tr w:rsidR="00E0206F"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206F" w:rsidRPr="009C5E28" w:rsidRDefault="00E0206F" w:rsidP="009236E9">
            <w:pPr>
              <w:spacing w:after="0" w:line="276" w:lineRule="auto"/>
              <w:jc w:val="center"/>
              <w:rPr>
                <w:b/>
                <w:bCs/>
              </w:rPr>
            </w:pPr>
            <w:r>
              <w:rPr>
                <w:sz w:val="20"/>
              </w:rPr>
              <w:t>Ethanol (96-%</w:t>
            </w:r>
            <w:proofErr w:type="spellStart"/>
            <w:r>
              <w:rPr>
                <w:sz w:val="20"/>
              </w:rPr>
              <w:t>ig</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E0206F" w:rsidRPr="00D92217" w:rsidRDefault="00E0206F" w:rsidP="009236E9">
            <w:pPr>
              <w:spacing w:after="0"/>
              <w:jc w:val="center"/>
              <w:rPr>
                <w:sz w:val="20"/>
                <w:szCs w:val="20"/>
              </w:rPr>
            </w:pPr>
            <w:r w:rsidRPr="00D92217">
              <w:rPr>
                <w:sz w:val="20"/>
                <w:szCs w:val="20"/>
              </w:rPr>
              <w:t xml:space="preserve">H: </w:t>
            </w:r>
            <w:r>
              <w:rPr>
                <w:sz w:val="20"/>
                <w:szCs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206F" w:rsidRPr="00D92217" w:rsidRDefault="00E0206F" w:rsidP="009236E9">
            <w:pPr>
              <w:spacing w:after="0"/>
              <w:jc w:val="center"/>
              <w:rPr>
                <w:sz w:val="20"/>
                <w:szCs w:val="20"/>
              </w:rPr>
            </w:pPr>
            <w:r w:rsidRPr="00D92217">
              <w:rPr>
                <w:sz w:val="20"/>
                <w:szCs w:val="20"/>
              </w:rPr>
              <w:t>P: 210</w:t>
            </w:r>
          </w:p>
        </w:tc>
      </w:tr>
      <w:tr w:rsidR="00E0206F" w:rsidRPr="009C5E28" w:rsidTr="009236E9">
        <w:trPr>
          <w:trHeight w:val="434"/>
        </w:trPr>
        <w:tc>
          <w:tcPr>
            <w:tcW w:w="3027" w:type="dxa"/>
            <w:gridSpan w:val="3"/>
            <w:tcBorders>
              <w:bottom w:val="single" w:sz="4" w:space="0" w:color="5B9BD5" w:themeColor="accent1"/>
            </w:tcBorders>
            <w:shd w:val="clear" w:color="auto" w:fill="auto"/>
            <w:vAlign w:val="center"/>
          </w:tcPr>
          <w:p w:rsidR="00E0206F" w:rsidRPr="00746B7E" w:rsidRDefault="00E0206F" w:rsidP="009236E9">
            <w:pPr>
              <w:spacing w:after="0" w:line="276" w:lineRule="auto"/>
              <w:jc w:val="center"/>
              <w:rPr>
                <w:bCs/>
                <w:color w:val="000000" w:themeColor="text1"/>
                <w:sz w:val="20"/>
              </w:rPr>
            </w:pPr>
            <w:r>
              <w:rPr>
                <w:color w:val="000000" w:themeColor="text1"/>
                <w:sz w:val="20"/>
                <w:szCs w:val="20"/>
              </w:rPr>
              <w:t>Wasser</w:t>
            </w:r>
          </w:p>
        </w:tc>
        <w:tc>
          <w:tcPr>
            <w:tcW w:w="3177" w:type="dxa"/>
            <w:gridSpan w:val="3"/>
            <w:tcBorders>
              <w:bottom w:val="single" w:sz="4" w:space="0" w:color="5B9BD5" w:themeColor="accent1"/>
            </w:tcBorders>
            <w:shd w:val="clear" w:color="auto" w:fill="auto"/>
            <w:vAlign w:val="center"/>
          </w:tcPr>
          <w:p w:rsidR="00E0206F" w:rsidRPr="00D92217" w:rsidRDefault="00E0206F" w:rsidP="009236E9">
            <w:pPr>
              <w:pStyle w:val="Beschriftung"/>
              <w:spacing w:after="0"/>
              <w:jc w:val="center"/>
              <w:rPr>
                <w:color w:val="000000" w:themeColor="text1"/>
                <w:sz w:val="20"/>
                <w:szCs w:val="20"/>
              </w:rPr>
            </w:pPr>
            <w:r w:rsidRPr="00D92217">
              <w:rPr>
                <w:color w:val="000000" w:themeColor="text1"/>
                <w:sz w:val="20"/>
                <w:szCs w:val="20"/>
              </w:rPr>
              <w:t xml:space="preserve">H: </w:t>
            </w:r>
            <w:r>
              <w:rPr>
                <w:color w:val="000000" w:themeColor="text1"/>
                <w:sz w:val="20"/>
                <w:szCs w:val="20"/>
              </w:rPr>
              <w:t>-</w:t>
            </w:r>
          </w:p>
        </w:tc>
        <w:tc>
          <w:tcPr>
            <w:tcW w:w="3118" w:type="dxa"/>
            <w:gridSpan w:val="3"/>
            <w:tcBorders>
              <w:bottom w:val="single" w:sz="4" w:space="0" w:color="5B9BD5" w:themeColor="accent1"/>
            </w:tcBorders>
            <w:shd w:val="clear" w:color="auto" w:fill="auto"/>
            <w:vAlign w:val="center"/>
          </w:tcPr>
          <w:p w:rsidR="00E0206F" w:rsidRPr="00D92217" w:rsidRDefault="00E0206F" w:rsidP="009236E9">
            <w:pPr>
              <w:pStyle w:val="Beschriftung"/>
              <w:spacing w:after="0"/>
              <w:jc w:val="center"/>
              <w:rPr>
                <w:color w:val="000000" w:themeColor="text1"/>
                <w:sz w:val="20"/>
                <w:szCs w:val="20"/>
              </w:rPr>
            </w:pPr>
            <w:r w:rsidRPr="00D92217">
              <w:rPr>
                <w:color w:val="000000" w:themeColor="text1"/>
                <w:sz w:val="20"/>
                <w:szCs w:val="20"/>
              </w:rPr>
              <w:t xml:space="preserve">P: </w:t>
            </w:r>
            <w:r>
              <w:rPr>
                <w:color w:val="000000" w:themeColor="text1"/>
                <w:sz w:val="20"/>
                <w:szCs w:val="20"/>
              </w:rPr>
              <w:t>-</w:t>
            </w:r>
          </w:p>
        </w:tc>
      </w:tr>
      <w:tr w:rsidR="00E0206F"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E0206F" w:rsidRPr="009C5E28" w:rsidRDefault="00E0206F" w:rsidP="009236E9">
            <w:pPr>
              <w:spacing w:after="0"/>
              <w:jc w:val="center"/>
              <w:rPr>
                <w:b/>
                <w:bCs/>
              </w:rPr>
            </w:pPr>
            <w:r w:rsidRPr="00336881">
              <w:rPr>
                <w:rFonts w:asciiTheme="majorHAnsi" w:hAnsiTheme="majorHAnsi"/>
                <w:b/>
                <w:noProof/>
                <w:color w:val="auto"/>
                <w:lang w:eastAsia="de-DE"/>
              </w:rPr>
              <w:drawing>
                <wp:inline distT="0" distB="0" distL="0" distR="0" wp14:anchorId="2050F649" wp14:editId="5D05024B">
                  <wp:extent cx="538061" cy="540000"/>
                  <wp:effectExtent l="0" t="0" r="0" b="0"/>
                  <wp:docPr id="29"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2435E4CB" wp14:editId="429708A7">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3733BE64" wp14:editId="571BE65B">
                  <wp:extent cx="485775" cy="485775"/>
                  <wp:effectExtent l="19050" t="0" r="9525" b="0"/>
                  <wp:docPr id="75" name="Bild 12"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64611DB4" wp14:editId="7CBD6AC3">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09B5BC05" wp14:editId="1BFAC4FD">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7E63E816" wp14:editId="59CB8D73">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70FE5F8C" wp14:editId="69A477D7">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65966837" wp14:editId="56290283">
                  <wp:extent cx="511175" cy="51117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0206F" w:rsidRPr="009C5E28" w:rsidRDefault="00E0206F" w:rsidP="009236E9">
            <w:pPr>
              <w:spacing w:after="0"/>
              <w:jc w:val="center"/>
            </w:pPr>
            <w:r>
              <w:rPr>
                <w:noProof/>
                <w:lang w:eastAsia="de-DE"/>
              </w:rPr>
              <w:drawing>
                <wp:inline distT="0" distB="0" distL="0" distR="0" wp14:anchorId="7E523114" wp14:editId="3231D623">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0206F" w:rsidRDefault="00E0206F" w:rsidP="00E0206F">
      <w:pPr>
        <w:tabs>
          <w:tab w:val="left" w:pos="1701"/>
          <w:tab w:val="left" w:pos="1985"/>
        </w:tabs>
        <w:ind w:left="1980" w:hanging="1980"/>
      </w:pPr>
    </w:p>
    <w:p w:rsidR="00E0206F" w:rsidRDefault="00E0206F" w:rsidP="00E0206F">
      <w:pPr>
        <w:tabs>
          <w:tab w:val="left" w:pos="1701"/>
          <w:tab w:val="left" w:pos="1985"/>
        </w:tabs>
        <w:ind w:left="1980" w:hanging="1980"/>
      </w:pPr>
      <w:r>
        <w:t xml:space="preserve">Materialien: </w:t>
      </w:r>
      <w:r>
        <w:tab/>
      </w:r>
      <w:r>
        <w:tab/>
        <w:t>250 </w:t>
      </w:r>
      <w:proofErr w:type="spellStart"/>
      <w:r>
        <w:t>mL</w:t>
      </w:r>
      <w:proofErr w:type="spellEnd"/>
      <w:r>
        <w:t xml:space="preserve"> Becherglas, Gasbrenner, Wasser, Papierstück (ohne Reißkanten), Baumwollstück</w:t>
      </w:r>
    </w:p>
    <w:p w:rsidR="00E0206F" w:rsidRPr="00ED07C2" w:rsidRDefault="00E0206F" w:rsidP="00E0206F">
      <w:pPr>
        <w:tabs>
          <w:tab w:val="left" w:pos="1701"/>
          <w:tab w:val="left" w:pos="1985"/>
        </w:tabs>
        <w:ind w:left="1980" w:hanging="1980"/>
      </w:pPr>
      <w:r>
        <w:t>Chemikalien:</w:t>
      </w:r>
      <w:r>
        <w:tab/>
      </w:r>
      <w:r>
        <w:tab/>
        <w:t>Ethanol (96-%</w:t>
      </w:r>
      <w:proofErr w:type="spellStart"/>
      <w:r>
        <w:t>ig</w:t>
      </w:r>
      <w:proofErr w:type="spellEnd"/>
      <w:r>
        <w:t>)</w:t>
      </w:r>
    </w:p>
    <w:p w:rsidR="00E0206F" w:rsidRDefault="00E0206F" w:rsidP="00E0206F">
      <w:pPr>
        <w:tabs>
          <w:tab w:val="left" w:pos="1701"/>
          <w:tab w:val="left" w:pos="1985"/>
        </w:tabs>
        <w:ind w:left="1980" w:hanging="1980"/>
      </w:pPr>
      <w:r>
        <w:t xml:space="preserve">Durchführung: </w:t>
      </w:r>
      <w:r>
        <w:tab/>
      </w:r>
      <w:r>
        <w:tab/>
      </w:r>
      <w:r>
        <w:tab/>
        <w:t>Zu 50 </w:t>
      </w:r>
      <w:proofErr w:type="spellStart"/>
      <w:r>
        <w:t>mL</w:t>
      </w:r>
      <w:proofErr w:type="spellEnd"/>
      <w:r>
        <w:t xml:space="preserve"> Wasser werden 50 </w:t>
      </w:r>
      <w:proofErr w:type="spellStart"/>
      <w:r>
        <w:t>mL</w:t>
      </w:r>
      <w:proofErr w:type="spellEnd"/>
      <w:r>
        <w:t xml:space="preserve"> Ethanol gegeben. In dieses Ethanol-Wasser-Gemisch werden das Baumwollstück und das Papierstück getränkt. Nach leichtem Ausdrücken des Baumwollstücks wird dieses bis zur Entzündung in die Gasbrennerflamme (rauschend) gehalten. Nach weiteren zwanzig Sekunden wird das Stoffstück im Wasser gelöscht. Mit dem Papierstück wird ebenfalls wie oben beschrieben verfahren.</w:t>
      </w:r>
    </w:p>
    <w:p w:rsidR="00E0206F" w:rsidRDefault="00E0206F" w:rsidP="00E0206F">
      <w:pPr>
        <w:tabs>
          <w:tab w:val="left" w:pos="1701"/>
          <w:tab w:val="left" w:pos="1985"/>
        </w:tabs>
        <w:ind w:left="1980" w:hanging="1980"/>
      </w:pPr>
      <w:r>
        <w:t>Beobachtung:</w:t>
      </w:r>
      <w:r>
        <w:tab/>
      </w:r>
      <w:r>
        <w:tab/>
      </w:r>
      <w:r>
        <w:tab/>
        <w:t>Sowohl das Baumwollstück als auch das Papierstück liegen nach der Löschung unversehrt vor.</w:t>
      </w:r>
    </w:p>
    <w:p w:rsidR="00E0206F" w:rsidRDefault="00E0206F" w:rsidP="00E0206F">
      <w:pPr>
        <w:keepNext/>
        <w:tabs>
          <w:tab w:val="left" w:pos="1701"/>
          <w:tab w:val="left" w:pos="1985"/>
        </w:tabs>
        <w:ind w:left="1980" w:hanging="1980"/>
      </w:pPr>
      <w:r>
        <w:lastRenderedPageBreak/>
        <w:t xml:space="preserve">                                        </w:t>
      </w:r>
      <w:r>
        <w:rPr>
          <w:noProof/>
          <w:lang w:eastAsia="de-DE"/>
        </w:rPr>
        <w:t xml:space="preserve"> </w:t>
      </w:r>
      <w:r>
        <w:rPr>
          <w:noProof/>
          <w:lang w:eastAsia="de-DE"/>
        </w:rPr>
        <w:drawing>
          <wp:inline distT="0" distB="0" distL="0" distR="0" wp14:anchorId="3CF0B895" wp14:editId="79E60AFC">
            <wp:extent cx="1679113" cy="206502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20160721_135303.jpg"/>
                    <pic:cNvPicPr/>
                  </pic:nvPicPr>
                  <pic:blipFill>
                    <a:blip r:embed="rId15" cstate="print">
                      <a:extLst>
                        <a:ext uri="{28A0092B-C50C-407E-A947-70E740481C1C}">
                          <a14:useLocalDpi xmlns:a14="http://schemas.microsoft.com/office/drawing/2010/main"/>
                        </a:ext>
                      </a:extLst>
                    </a:blip>
                    <a:stretch>
                      <a:fillRect/>
                    </a:stretch>
                  </pic:blipFill>
                  <pic:spPr>
                    <a:xfrm>
                      <a:off x="0" y="0"/>
                      <a:ext cx="1684160" cy="2071226"/>
                    </a:xfrm>
                    <a:prstGeom prst="rect">
                      <a:avLst/>
                    </a:prstGeom>
                  </pic:spPr>
                </pic:pic>
              </a:graphicData>
            </a:graphic>
          </wp:inline>
        </w:drawing>
      </w:r>
      <w:r>
        <w:rPr>
          <w:noProof/>
          <w:lang w:eastAsia="de-DE"/>
        </w:rPr>
        <w:t xml:space="preserve">     </w:t>
      </w:r>
      <w:r>
        <w:rPr>
          <w:noProof/>
          <w:lang w:eastAsia="de-DE"/>
        </w:rPr>
        <w:drawing>
          <wp:inline distT="0" distB="0" distL="0" distR="0" wp14:anchorId="0940641B" wp14:editId="064D0B59">
            <wp:extent cx="1826838" cy="2036264"/>
            <wp:effectExtent l="0" t="0" r="2540" b="254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0160721_135325.jpg"/>
                    <pic:cNvPicPr/>
                  </pic:nvPicPr>
                  <pic:blipFill>
                    <a:blip r:embed="rId16" cstate="print">
                      <a:extLst>
                        <a:ext uri="{28A0092B-C50C-407E-A947-70E740481C1C}">
                          <a14:useLocalDpi xmlns:a14="http://schemas.microsoft.com/office/drawing/2010/main"/>
                        </a:ext>
                      </a:extLst>
                    </a:blip>
                    <a:stretch>
                      <a:fillRect/>
                    </a:stretch>
                  </pic:blipFill>
                  <pic:spPr>
                    <a:xfrm>
                      <a:off x="0" y="0"/>
                      <a:ext cx="1841582" cy="2052698"/>
                    </a:xfrm>
                    <a:prstGeom prst="rect">
                      <a:avLst/>
                    </a:prstGeom>
                  </pic:spPr>
                </pic:pic>
              </a:graphicData>
            </a:graphic>
          </wp:inline>
        </w:drawing>
      </w:r>
    </w:p>
    <w:p w:rsidR="00E0206F" w:rsidRDefault="00E0206F" w:rsidP="00E0206F">
      <w:pPr>
        <w:pStyle w:val="Beschriftung"/>
        <w:jc w:val="center"/>
      </w:pPr>
      <w:r>
        <w:t xml:space="preserve">      Abb. 2 - </w:t>
      </w:r>
      <w:r>
        <w:rPr>
          <w:noProof/>
        </w:rPr>
        <w:t xml:space="preserve"> Baumwollstück während des Brennens (links) und nach der Löschung (rechts).</w:t>
      </w:r>
    </w:p>
    <w:p w:rsidR="00E0206F" w:rsidRDefault="00E0206F" w:rsidP="00E0206F">
      <w:pPr>
        <w:tabs>
          <w:tab w:val="left" w:pos="1701"/>
          <w:tab w:val="left" w:pos="1985"/>
        </w:tabs>
        <w:ind w:left="2124" w:hanging="2124"/>
        <w:rPr>
          <w:rFonts w:eastAsiaTheme="minorEastAsia"/>
        </w:rPr>
      </w:pPr>
      <w:r>
        <w:t>Deutung:</w:t>
      </w:r>
      <w:r>
        <w:tab/>
      </w:r>
      <w:r>
        <w:tab/>
      </w:r>
      <w:r>
        <w:tab/>
      </w:r>
      <w:proofErr w:type="gramStart"/>
      <w:r>
        <w:t>Der Ethanol</w:t>
      </w:r>
      <w:proofErr w:type="gramEnd"/>
      <w:r>
        <w:t xml:space="preserve"> ist für das Erreichen der Verbrennungswärme zuständig. Allerdings wird durch die Anwesenheit des Wassers und dessen Verdampfungswärme dem System Energie entzogen, wodurch lediglich der niedrigsiedende und leicht entzündbare Alkohol brennt.</w:t>
      </w:r>
    </w:p>
    <w:p w:rsidR="00E0206F" w:rsidRDefault="00E0206F" w:rsidP="00E0206F">
      <w:pPr>
        <w:spacing w:line="276" w:lineRule="auto"/>
        <w:ind w:left="2130" w:hanging="2130"/>
        <w:jc w:val="left"/>
      </w:pPr>
      <w:r>
        <w:t>Entsorgung:</w:t>
      </w:r>
      <w:r>
        <w:tab/>
        <w:t>Die Entsorgung der Feststoffe erfolgt kommunal im Hausmüll. Die Alkohol-Wasser-Lösung kann stark verdünnt im Abfluss entsorgt werden.</w:t>
      </w:r>
    </w:p>
    <w:p w:rsidR="00E0206F" w:rsidRPr="005B60E3" w:rsidRDefault="00E0206F" w:rsidP="00E0206F">
      <w:pPr>
        <w:spacing w:line="276" w:lineRule="auto"/>
        <w:ind w:left="1416" w:hanging="1416"/>
        <w:jc w:val="left"/>
        <w:rPr>
          <w:rFonts w:asciiTheme="majorHAnsi" w:eastAsiaTheme="majorEastAsia" w:hAnsiTheme="majorHAnsi" w:cstheme="majorBidi"/>
          <w:b/>
          <w:bCs/>
          <w:sz w:val="28"/>
          <w:szCs w:val="28"/>
        </w:rPr>
      </w:pPr>
      <w:r>
        <w:t>Literatur:</w:t>
      </w:r>
      <w:r>
        <w:tab/>
      </w:r>
      <w:r>
        <w:tab/>
      </w:r>
      <w:r>
        <w:rPr>
          <w:color w:val="auto"/>
        </w:rPr>
        <w:t xml:space="preserve">[2] F. R. </w:t>
      </w:r>
      <w:proofErr w:type="spellStart"/>
      <w:r>
        <w:rPr>
          <w:color w:val="auto"/>
        </w:rPr>
        <w:t>Kreißl</w:t>
      </w:r>
      <w:proofErr w:type="spellEnd"/>
      <w:r>
        <w:rPr>
          <w:color w:val="auto"/>
        </w:rPr>
        <w:t xml:space="preserve">, O. Krätz, Feuer und Flamme, Schall und Rauch, </w:t>
      </w:r>
      <w:proofErr w:type="spellStart"/>
      <w:r>
        <w:rPr>
          <w:color w:val="auto"/>
        </w:rPr>
        <w:t>Wiley</w:t>
      </w:r>
      <w:proofErr w:type="spellEnd"/>
      <w:r>
        <w:rPr>
          <w:color w:val="auto"/>
        </w:rPr>
        <w:t xml:space="preserve">-VCH, </w:t>
      </w:r>
      <w:r>
        <w:rPr>
          <w:color w:val="auto"/>
        </w:rPr>
        <w:tab/>
        <w:t>2. Auflage, 2008, S. 223 f.</w:t>
      </w:r>
    </w:p>
    <w:p w:rsidR="00E0206F" w:rsidRDefault="00E0206F" w:rsidP="00E0206F">
      <w:pPr>
        <w:tabs>
          <w:tab w:val="left" w:pos="1701"/>
          <w:tab w:val="left" w:pos="1985"/>
        </w:tabs>
        <w:ind w:left="1980" w:hanging="1980"/>
      </w:pPr>
    </w:p>
    <w:p w:rsidR="00E0206F" w:rsidRDefault="00E0206F" w:rsidP="00E0206F">
      <w:pPr>
        <w:tabs>
          <w:tab w:val="left" w:pos="1701"/>
          <w:tab w:val="left" w:pos="1985"/>
        </w:tabs>
        <w:ind w:left="1980" w:hanging="1980"/>
      </w:pPr>
      <w:r>
        <w:rPr>
          <w:noProof/>
          <w:lang w:eastAsia="de-DE"/>
        </w:rPr>
        <mc:AlternateContent>
          <mc:Choice Requires="wps">
            <w:drawing>
              <wp:inline distT="0" distB="0" distL="0" distR="0" wp14:anchorId="54B8F6E6" wp14:editId="56E4BDC7">
                <wp:extent cx="5873115" cy="573405"/>
                <wp:effectExtent l="13970" t="6985" r="8890" b="10160"/>
                <wp:docPr id="2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34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206F" w:rsidRPr="00F31EBF" w:rsidRDefault="00E0206F" w:rsidP="00E0206F">
                            <w:pPr>
                              <w:rPr>
                                <w:color w:val="auto"/>
                              </w:rPr>
                            </w:pPr>
                            <w:r w:rsidRPr="00F31EBF">
                              <w:rPr>
                                <w:b/>
                                <w:color w:val="auto"/>
                              </w:rPr>
                              <w:t xml:space="preserve">Unterrichtsanschlüsse </w:t>
                            </w:r>
                            <w:r>
                              <w:rPr>
                                <w:color w:val="auto"/>
                              </w:rPr>
                              <w:t>Im Anschluss kann über die benötigte Verbrennungswärme von unterschiedlichen Materialien und der Schutz von diesen vor Feuer gesprochen werden.</w:t>
                            </w:r>
                          </w:p>
                        </w:txbxContent>
                      </wps:txbx>
                      <wps:bodyPr rot="0" vert="horz" wrap="square" lIns="91440" tIns="45720" rIns="91440" bIns="45720" anchor="t" anchorCtr="0" upright="1">
                        <a:noAutofit/>
                      </wps:bodyPr>
                    </wps:wsp>
                  </a:graphicData>
                </a:graphic>
              </wp:inline>
            </w:drawing>
          </mc:Choice>
          <mc:Fallback>
            <w:pict>
              <v:shape w14:anchorId="54B8F6E6" id="Text Box 131" o:spid="_x0000_s1027" type="#_x0000_t202" style="width:462.4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" fillcolor="white [3201]" strokecolor="#ed7d31 [3205]" strokeweight="1pt">
                <v:stroke dashstyle="dash"/>
                <v:shadow color="#868686"/>
                <v:textbox>
                  <w:txbxContent>
                    <w:p w:rsidR="00E0206F" w:rsidRPr="00F31EBF" w:rsidRDefault="00E0206F" w:rsidP="00E0206F">
                      <w:pPr>
                        <w:rPr>
                          <w:color w:val="auto"/>
                        </w:rPr>
                      </w:pPr>
                      <w:r w:rsidRPr="00F31EBF">
                        <w:rPr>
                          <w:b/>
                          <w:color w:val="auto"/>
                        </w:rPr>
                        <w:t xml:space="preserve">Unterrichtsanschlüsse </w:t>
                      </w:r>
                      <w:r>
                        <w:rPr>
                          <w:color w:val="auto"/>
                        </w:rPr>
                        <w:t>Im Anschluss kann über die benötigte Verbrennungswärme von unterschiedlichen Materialien und der Schutz von diesen vor Feuer gesprochen werden.</w:t>
                      </w:r>
                    </w:p>
                  </w:txbxContent>
                </v:textbox>
                <w10:anchorlock/>
              </v:shape>
            </w:pict>
          </mc:Fallback>
        </mc:AlternateContent>
      </w:r>
    </w:p>
    <w:p w:rsidR="00E0206F" w:rsidRPr="00CC307A" w:rsidRDefault="00E0206F" w:rsidP="00E0206F"/>
    <w:p w:rsidR="00EB619B" w:rsidRDefault="00E0206F"/>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6F"/>
    <w:rsid w:val="000C761C"/>
    <w:rsid w:val="00125E17"/>
    <w:rsid w:val="00176474"/>
    <w:rsid w:val="0034208B"/>
    <w:rsid w:val="003E3AD9"/>
    <w:rsid w:val="00641C7C"/>
    <w:rsid w:val="006B6773"/>
    <w:rsid w:val="006E23EA"/>
    <w:rsid w:val="007633FF"/>
    <w:rsid w:val="00855922"/>
    <w:rsid w:val="00990B4C"/>
    <w:rsid w:val="00A22302"/>
    <w:rsid w:val="00BF1E02"/>
    <w:rsid w:val="00E02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2097C-1E68-4F20-B113-D293FEEC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0206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0206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0206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0206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0206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0206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0206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0206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0206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0206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06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0206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0206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0206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0206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0206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0206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0206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0206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0206F"/>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2016-08-08T18:15:00Z</dcterms:created>
  <dcterms:modified xsi:type="dcterms:W3CDTF">2016-08-08T18:16:00Z</dcterms:modified>
</cp:coreProperties>
</file>