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378" w:rsidRPr="00CC307A" w:rsidRDefault="007F0378" w:rsidP="007F0378">
      <w:pPr>
        <w:pStyle w:val="berschrift2"/>
        <w:rPr>
          <w:color w:val="auto"/>
        </w:rPr>
      </w:pPr>
      <w:bookmarkStart w:id="0" w:name="_Toc457302145"/>
      <w:r>
        <w:rPr>
          <w:noProof/>
          <w:lang w:eastAsia="de-DE"/>
        </w:rPr>
        <mc:AlternateContent>
          <mc:Choice Requires="wps">
            <w:drawing>
              <wp:anchor distT="0" distB="0" distL="114300" distR="114300" simplePos="0" relativeHeight="251659264" behindDoc="0" locked="0" layoutInCell="1" allowOverlap="1" wp14:anchorId="3EE0AA9E" wp14:editId="4BFE3861">
                <wp:simplePos x="0" y="0"/>
                <wp:positionH relativeFrom="margin">
                  <wp:align>left</wp:align>
                </wp:positionH>
                <wp:positionV relativeFrom="paragraph">
                  <wp:posOffset>397510</wp:posOffset>
                </wp:positionV>
                <wp:extent cx="5873115" cy="571500"/>
                <wp:effectExtent l="0" t="0" r="13335" b="19050"/>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15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0378" w:rsidRPr="00F31EBF" w:rsidRDefault="007F0378" w:rsidP="007F0378">
                            <w:pPr>
                              <w:rPr>
                                <w:color w:val="auto"/>
                              </w:rPr>
                            </w:pPr>
                            <w:r>
                              <w:rPr>
                                <w:color w:val="auto"/>
                              </w:rPr>
                              <w:t>Bei diesem Versuch sollen die SuS einen Gasfeuerlöscher aus Haushaltsmitteln bauen. (Weitere Feuerlöscher s. Kurzprotokolle)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0AA9E" id="_x0000_t202" coordsize="21600,21600" o:spt="202" path="m,l,21600r21600,l21600,xe">
                <v:stroke joinstyle="miter"/>
                <v:path gradientshapeok="t" o:connecttype="rect"/>
              </v:shapetype>
              <v:shape id="Text Box 60" o:spid="_x0000_s1026" type="#_x0000_t202" style="position:absolute;left:0;text-align:left;margin-left:0;margin-top:31.3pt;width:462.45pt;height: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B+7AIAACs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" fillcolor="white [3201]" strokecolor="#4472c4 [3208]" strokeweight="1pt">
                <v:stroke dashstyle="dash"/>
                <v:shadow color="#868686"/>
                <v:textbox>
                  <w:txbxContent>
                    <w:p w:rsidR="007F0378" w:rsidRPr="00F31EBF" w:rsidRDefault="007F0378" w:rsidP="007F0378">
                      <w:pPr>
                        <w:rPr>
                          <w:color w:val="auto"/>
                        </w:rPr>
                      </w:pPr>
                      <w:r>
                        <w:rPr>
                          <w:color w:val="auto"/>
                        </w:rPr>
                        <w:t>Bei diesem Versuch sollen die SuS einen Gasfeuerlöscher aus Haushaltsmitteln bauen. (Weitere Feuerlöscher s. Kurzprotokolle)</w:t>
                      </w:r>
                    </w:p>
                  </w:txbxContent>
                </v:textbox>
                <w10:wrap type="square" anchorx="margin"/>
              </v:shape>
            </w:pict>
          </mc:Fallback>
        </mc:AlternateContent>
      </w:r>
      <w:r>
        <w:rPr>
          <w:color w:val="auto"/>
        </w:rPr>
        <w:t>V3</w:t>
      </w:r>
      <w:r w:rsidRPr="00CC307A">
        <w:rPr>
          <w:color w:val="auto"/>
        </w:rPr>
        <w:t xml:space="preserve"> – </w:t>
      </w:r>
      <w:bookmarkStart w:id="1" w:name="_GoBack"/>
      <w:r>
        <w:rPr>
          <w:color w:val="auto"/>
        </w:rPr>
        <w:t>Essig-Backpulver-Löscher</w:t>
      </w:r>
      <w:bookmarkEnd w:id="0"/>
      <w:bookmarkEnd w:id="1"/>
    </w:p>
    <w:p w:rsidR="007F0378" w:rsidRDefault="007F0378" w:rsidP="007F0378">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F0378" w:rsidRPr="009C5E28" w:rsidTr="009236E9">
        <w:tc>
          <w:tcPr>
            <w:tcW w:w="9322" w:type="dxa"/>
            <w:gridSpan w:val="9"/>
            <w:shd w:val="clear" w:color="auto" w:fill="4F81BD"/>
            <w:vAlign w:val="center"/>
          </w:tcPr>
          <w:p w:rsidR="007F0378" w:rsidRPr="00F31EBF" w:rsidRDefault="007F0378" w:rsidP="009236E9">
            <w:pPr>
              <w:spacing w:after="0"/>
              <w:jc w:val="center"/>
              <w:rPr>
                <w:b/>
                <w:bCs/>
                <w:color w:val="FFFFFF" w:themeColor="background1"/>
              </w:rPr>
            </w:pPr>
            <w:r w:rsidRPr="00F31EBF">
              <w:rPr>
                <w:b/>
                <w:bCs/>
                <w:color w:val="FFFFFF" w:themeColor="background1"/>
              </w:rPr>
              <w:t>Gefahrenstoffe</w:t>
            </w:r>
          </w:p>
        </w:tc>
      </w:tr>
      <w:tr w:rsidR="007F0378"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F0378" w:rsidRPr="009C5E28" w:rsidRDefault="007F0378" w:rsidP="009236E9">
            <w:pPr>
              <w:spacing w:after="0" w:line="276" w:lineRule="auto"/>
              <w:jc w:val="center"/>
              <w:rPr>
                <w:b/>
                <w:bCs/>
              </w:rPr>
            </w:pPr>
            <w:r>
              <w:rPr>
                <w:sz w:val="20"/>
              </w:rPr>
              <w:t>Natriumhydrogencarbonat</w:t>
            </w:r>
          </w:p>
        </w:tc>
        <w:tc>
          <w:tcPr>
            <w:tcW w:w="3177" w:type="dxa"/>
            <w:gridSpan w:val="3"/>
            <w:tcBorders>
              <w:top w:val="single" w:sz="8" w:space="0" w:color="4F81BD"/>
              <w:bottom w:val="single" w:sz="8" w:space="0" w:color="4F81BD"/>
            </w:tcBorders>
            <w:shd w:val="clear" w:color="auto" w:fill="auto"/>
            <w:vAlign w:val="center"/>
          </w:tcPr>
          <w:p w:rsidR="007F0378" w:rsidRPr="00D92217" w:rsidRDefault="007F0378" w:rsidP="009236E9">
            <w:pPr>
              <w:spacing w:after="0"/>
              <w:jc w:val="center"/>
              <w:rPr>
                <w:sz w:val="20"/>
                <w:szCs w:val="20"/>
              </w:rPr>
            </w:pPr>
            <w:r w:rsidRPr="00D92217">
              <w:rPr>
                <w:sz w:val="20"/>
                <w:szCs w:val="20"/>
              </w:rPr>
              <w:t xml:space="preserve">H: </w:t>
            </w:r>
            <w:r>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F0378" w:rsidRPr="00D92217" w:rsidRDefault="007F0378" w:rsidP="009236E9">
            <w:pPr>
              <w:spacing w:after="0"/>
              <w:jc w:val="center"/>
              <w:rPr>
                <w:sz w:val="20"/>
                <w:szCs w:val="20"/>
              </w:rPr>
            </w:pPr>
            <w:r w:rsidRPr="00D92217">
              <w:rPr>
                <w:sz w:val="20"/>
                <w:szCs w:val="20"/>
              </w:rPr>
              <w:t xml:space="preserve">P: </w:t>
            </w:r>
            <w:r>
              <w:rPr>
                <w:sz w:val="20"/>
                <w:szCs w:val="20"/>
              </w:rPr>
              <w:t>-</w:t>
            </w:r>
          </w:p>
        </w:tc>
      </w:tr>
      <w:tr w:rsidR="007F0378" w:rsidRPr="009C5E28" w:rsidTr="009236E9">
        <w:trPr>
          <w:trHeight w:val="434"/>
        </w:trPr>
        <w:tc>
          <w:tcPr>
            <w:tcW w:w="3027" w:type="dxa"/>
            <w:gridSpan w:val="3"/>
            <w:tcBorders>
              <w:bottom w:val="single" w:sz="4" w:space="0" w:color="5B9BD5" w:themeColor="accent1"/>
            </w:tcBorders>
            <w:shd w:val="clear" w:color="auto" w:fill="auto"/>
            <w:vAlign w:val="center"/>
          </w:tcPr>
          <w:p w:rsidR="007F0378" w:rsidRPr="00746B7E" w:rsidRDefault="007F0378" w:rsidP="009236E9">
            <w:pPr>
              <w:spacing w:after="0" w:line="276" w:lineRule="auto"/>
              <w:jc w:val="center"/>
              <w:rPr>
                <w:bCs/>
                <w:color w:val="000000" w:themeColor="text1"/>
                <w:sz w:val="20"/>
              </w:rPr>
            </w:pPr>
            <w:r>
              <w:rPr>
                <w:color w:val="000000" w:themeColor="text1"/>
                <w:sz w:val="20"/>
                <w:szCs w:val="20"/>
              </w:rPr>
              <w:t>Essig (15%)</w:t>
            </w:r>
          </w:p>
        </w:tc>
        <w:tc>
          <w:tcPr>
            <w:tcW w:w="3177" w:type="dxa"/>
            <w:gridSpan w:val="3"/>
            <w:tcBorders>
              <w:bottom w:val="single" w:sz="4" w:space="0" w:color="5B9BD5" w:themeColor="accent1"/>
            </w:tcBorders>
            <w:shd w:val="clear" w:color="auto" w:fill="auto"/>
            <w:vAlign w:val="center"/>
          </w:tcPr>
          <w:p w:rsidR="007F0378" w:rsidRPr="00D92217" w:rsidRDefault="007F0378" w:rsidP="009236E9">
            <w:pPr>
              <w:pStyle w:val="Beschriftung"/>
              <w:spacing w:after="0"/>
              <w:jc w:val="center"/>
              <w:rPr>
                <w:color w:val="000000" w:themeColor="text1"/>
                <w:sz w:val="20"/>
                <w:szCs w:val="20"/>
              </w:rPr>
            </w:pPr>
            <w:r w:rsidRPr="00D92217">
              <w:rPr>
                <w:color w:val="000000" w:themeColor="text1"/>
                <w:sz w:val="20"/>
                <w:szCs w:val="20"/>
              </w:rPr>
              <w:t xml:space="preserve">H: </w:t>
            </w:r>
            <w:r>
              <w:rPr>
                <w:color w:val="000000" w:themeColor="text1"/>
                <w:sz w:val="20"/>
                <w:szCs w:val="20"/>
              </w:rPr>
              <w:t>315</w:t>
            </w:r>
          </w:p>
        </w:tc>
        <w:tc>
          <w:tcPr>
            <w:tcW w:w="3118" w:type="dxa"/>
            <w:gridSpan w:val="3"/>
            <w:tcBorders>
              <w:bottom w:val="single" w:sz="4" w:space="0" w:color="5B9BD5" w:themeColor="accent1"/>
            </w:tcBorders>
            <w:shd w:val="clear" w:color="auto" w:fill="auto"/>
            <w:vAlign w:val="center"/>
          </w:tcPr>
          <w:p w:rsidR="007F0378" w:rsidRPr="00D92217" w:rsidRDefault="007F0378" w:rsidP="009236E9">
            <w:pPr>
              <w:pStyle w:val="Beschriftung"/>
              <w:spacing w:after="0"/>
              <w:jc w:val="center"/>
              <w:rPr>
                <w:color w:val="000000" w:themeColor="text1"/>
                <w:sz w:val="20"/>
                <w:szCs w:val="20"/>
              </w:rPr>
            </w:pPr>
            <w:r w:rsidRPr="00D92217">
              <w:rPr>
                <w:color w:val="000000" w:themeColor="text1"/>
                <w:sz w:val="20"/>
                <w:szCs w:val="20"/>
              </w:rPr>
              <w:t xml:space="preserve">P: </w:t>
            </w:r>
            <w:r>
              <w:rPr>
                <w:color w:val="000000" w:themeColor="text1"/>
                <w:sz w:val="20"/>
                <w:szCs w:val="20"/>
              </w:rPr>
              <w:t xml:space="preserve">280, 301+330+331, </w:t>
            </w:r>
            <w:r w:rsidRPr="00D92217">
              <w:rPr>
                <w:color w:val="000000" w:themeColor="text1"/>
                <w:sz w:val="20"/>
                <w:szCs w:val="20"/>
              </w:rPr>
              <w:t>305+351+338</w:t>
            </w:r>
          </w:p>
        </w:tc>
      </w:tr>
      <w:tr w:rsidR="007F0378"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7F0378" w:rsidRPr="009C5E28" w:rsidRDefault="007F0378" w:rsidP="009236E9">
            <w:pPr>
              <w:spacing w:after="0"/>
              <w:jc w:val="center"/>
              <w:rPr>
                <w:b/>
                <w:bCs/>
              </w:rPr>
            </w:pPr>
            <w:r w:rsidRPr="00336881">
              <w:rPr>
                <w:rFonts w:asciiTheme="majorHAnsi" w:hAnsiTheme="majorHAnsi"/>
                <w:b/>
                <w:noProof/>
                <w:color w:val="auto"/>
                <w:lang w:eastAsia="de-DE"/>
              </w:rPr>
              <w:drawing>
                <wp:inline distT="0" distB="0" distL="0" distR="0" wp14:anchorId="72C5B7ED" wp14:editId="262E055F">
                  <wp:extent cx="538061" cy="540000"/>
                  <wp:effectExtent l="0" t="0" r="0" b="0"/>
                  <wp:docPr id="46"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F0378" w:rsidRPr="009C5E28" w:rsidRDefault="007F0378" w:rsidP="009236E9">
            <w:pPr>
              <w:spacing w:after="0"/>
              <w:jc w:val="center"/>
            </w:pPr>
            <w:r>
              <w:rPr>
                <w:noProof/>
                <w:lang w:eastAsia="de-DE"/>
              </w:rPr>
              <w:drawing>
                <wp:inline distT="0" distB="0" distL="0" distR="0" wp14:anchorId="4E90D42B" wp14:editId="25285A7A">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F0378" w:rsidRPr="009C5E28" w:rsidRDefault="007F0378" w:rsidP="009236E9">
            <w:pPr>
              <w:spacing w:after="0"/>
              <w:jc w:val="center"/>
            </w:pPr>
            <w:r>
              <w:rPr>
                <w:noProof/>
                <w:lang w:eastAsia="de-DE"/>
              </w:rPr>
              <w:drawing>
                <wp:inline distT="0" distB="0" distL="0" distR="0" wp14:anchorId="1823C088" wp14:editId="2E9DDC73">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F0378" w:rsidRPr="009C5E28" w:rsidRDefault="007F0378" w:rsidP="009236E9">
            <w:pPr>
              <w:spacing w:after="0"/>
              <w:jc w:val="center"/>
            </w:pPr>
            <w:r>
              <w:rPr>
                <w:noProof/>
                <w:lang w:eastAsia="de-DE"/>
              </w:rPr>
              <w:drawing>
                <wp:inline distT="0" distB="0" distL="0" distR="0" wp14:anchorId="791F06B5" wp14:editId="36515347">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F0378" w:rsidRPr="009C5E28" w:rsidRDefault="007F0378" w:rsidP="009236E9">
            <w:pPr>
              <w:spacing w:after="0"/>
              <w:jc w:val="center"/>
            </w:pPr>
            <w:r>
              <w:rPr>
                <w:noProof/>
                <w:lang w:eastAsia="de-DE"/>
              </w:rPr>
              <w:drawing>
                <wp:inline distT="0" distB="0" distL="0" distR="0" wp14:anchorId="68F498A4" wp14:editId="0A90C138">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F0378" w:rsidRPr="009C5E28" w:rsidRDefault="007F0378" w:rsidP="009236E9">
            <w:pPr>
              <w:spacing w:after="0"/>
              <w:jc w:val="center"/>
            </w:pPr>
            <w:r>
              <w:rPr>
                <w:noProof/>
                <w:lang w:eastAsia="de-DE"/>
              </w:rPr>
              <w:drawing>
                <wp:inline distT="0" distB="0" distL="0" distR="0" wp14:anchorId="6E513B8F" wp14:editId="3D66E252">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F0378" w:rsidRPr="009C5E28" w:rsidRDefault="007F0378" w:rsidP="009236E9">
            <w:pPr>
              <w:spacing w:after="0"/>
              <w:jc w:val="center"/>
            </w:pPr>
            <w:r>
              <w:rPr>
                <w:noProof/>
                <w:lang w:eastAsia="de-DE"/>
              </w:rPr>
              <w:drawing>
                <wp:inline distT="0" distB="0" distL="0" distR="0" wp14:anchorId="2F0549EB" wp14:editId="78F185F3">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F0378" w:rsidRPr="009C5E28" w:rsidRDefault="007F0378" w:rsidP="009236E9">
            <w:pPr>
              <w:spacing w:after="0"/>
              <w:jc w:val="center"/>
            </w:pPr>
            <w:r>
              <w:rPr>
                <w:noProof/>
                <w:lang w:eastAsia="de-DE"/>
              </w:rPr>
              <w:drawing>
                <wp:inline distT="0" distB="0" distL="0" distR="0" wp14:anchorId="64ACA35A" wp14:editId="4E039913">
                  <wp:extent cx="511175" cy="511175"/>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F0378" w:rsidRPr="009C5E28" w:rsidRDefault="007F0378" w:rsidP="009236E9">
            <w:pPr>
              <w:spacing w:after="0"/>
              <w:jc w:val="center"/>
            </w:pPr>
            <w:r>
              <w:rPr>
                <w:noProof/>
                <w:lang w:eastAsia="de-DE"/>
              </w:rPr>
              <w:drawing>
                <wp:inline distT="0" distB="0" distL="0" distR="0" wp14:anchorId="7B143E86" wp14:editId="52AF859A">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F0378" w:rsidRDefault="007F0378" w:rsidP="007F0378">
      <w:pPr>
        <w:tabs>
          <w:tab w:val="left" w:pos="1701"/>
          <w:tab w:val="left" w:pos="1985"/>
        </w:tabs>
        <w:ind w:left="1980" w:hanging="1980"/>
      </w:pPr>
    </w:p>
    <w:p w:rsidR="007F0378" w:rsidRDefault="007F0378" w:rsidP="007F0378">
      <w:pPr>
        <w:tabs>
          <w:tab w:val="left" w:pos="1701"/>
          <w:tab w:val="left" w:pos="1985"/>
        </w:tabs>
        <w:ind w:left="1980" w:hanging="1980"/>
      </w:pPr>
      <w:r>
        <w:t xml:space="preserve">Materialien: </w:t>
      </w:r>
      <w:r>
        <w:tab/>
      </w:r>
      <w:r>
        <w:tab/>
        <w:t>100 </w:t>
      </w:r>
      <w:proofErr w:type="spellStart"/>
      <w:r>
        <w:t>mL</w:t>
      </w:r>
      <w:proofErr w:type="spellEnd"/>
      <w:r>
        <w:t xml:space="preserve"> Becherglas, Kerze, Teelöffel</w:t>
      </w:r>
    </w:p>
    <w:p w:rsidR="007F0378" w:rsidRPr="00ED07C2" w:rsidRDefault="007F0378" w:rsidP="007F0378">
      <w:pPr>
        <w:tabs>
          <w:tab w:val="left" w:pos="1701"/>
          <w:tab w:val="left" w:pos="1985"/>
        </w:tabs>
        <w:ind w:left="1980" w:hanging="1980"/>
      </w:pPr>
      <w:r>
        <w:t>Chemikalien:</w:t>
      </w:r>
      <w:r>
        <w:tab/>
      </w:r>
      <w:r>
        <w:tab/>
        <w:t>Natriumhydrogencarbonat (Backpulver), Essig</w:t>
      </w:r>
    </w:p>
    <w:p w:rsidR="007F0378" w:rsidRDefault="007F0378" w:rsidP="007F0378">
      <w:pPr>
        <w:tabs>
          <w:tab w:val="left" w:pos="1701"/>
          <w:tab w:val="left" w:pos="1985"/>
        </w:tabs>
        <w:ind w:left="1980" w:hanging="1980"/>
      </w:pPr>
      <w:r>
        <w:t xml:space="preserve">Durchführung: </w:t>
      </w:r>
      <w:r>
        <w:tab/>
      </w:r>
      <w:r>
        <w:tab/>
        <w:t>In das Becherglas wird ein Teelöffel Natriumhydrogencarbonat gegeben und mit etwas Essig vermischt. Die Kerze wird entzündet. Nun wird das Becherglas langsam schräg über die Flamme gehalten, sodass keine Flüssigkeit oder Schaum aus diesem gelangt, sondern lediglich das Gas aus dem Becherglas gegossen wird.</w:t>
      </w:r>
    </w:p>
    <w:p w:rsidR="007F0378" w:rsidRDefault="007F0378" w:rsidP="007F0378">
      <w:pPr>
        <w:tabs>
          <w:tab w:val="left" w:pos="1701"/>
          <w:tab w:val="left" w:pos="1985"/>
        </w:tabs>
        <w:ind w:left="1980" w:hanging="1980"/>
      </w:pPr>
      <w:r>
        <w:t>Beobachtung:</w:t>
      </w:r>
      <w:r>
        <w:tab/>
      </w:r>
      <w:r>
        <w:tab/>
      </w:r>
      <w:r>
        <w:tab/>
        <w:t>Nach kurzer Zeit erlischt die Flamme.</w:t>
      </w:r>
    </w:p>
    <w:p w:rsidR="007F0378" w:rsidRDefault="007F0378" w:rsidP="007F0378">
      <w:pPr>
        <w:keepNext/>
        <w:tabs>
          <w:tab w:val="left" w:pos="1701"/>
          <w:tab w:val="left" w:pos="1985"/>
        </w:tabs>
        <w:ind w:left="1980" w:hanging="1980"/>
        <w:jc w:val="center"/>
      </w:pPr>
      <w:r>
        <w:rPr>
          <w:noProof/>
          <w:lang w:eastAsia="de-DE"/>
        </w:rPr>
        <w:drawing>
          <wp:inline distT="0" distB="0" distL="0" distR="0" wp14:anchorId="32A54694" wp14:editId="0991693F">
            <wp:extent cx="1037720" cy="1778327"/>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vlcsnap-2016-07-22-23h37m41s640.png"/>
                    <pic:cNvPicPr/>
                  </pic:nvPicPr>
                  <pic:blipFill>
                    <a:blip r:embed="rId14" cstate="print">
                      <a:extLst>
                        <a:ext uri="{28A0092B-C50C-407E-A947-70E740481C1C}">
                          <a14:useLocalDpi xmlns:a14="http://schemas.microsoft.com/office/drawing/2010/main"/>
                        </a:ext>
                      </a:extLst>
                    </a:blip>
                    <a:stretch>
                      <a:fillRect/>
                    </a:stretch>
                  </pic:blipFill>
                  <pic:spPr>
                    <a:xfrm>
                      <a:off x="0" y="0"/>
                      <a:ext cx="1043272" cy="1787841"/>
                    </a:xfrm>
                    <a:prstGeom prst="rect">
                      <a:avLst/>
                    </a:prstGeom>
                  </pic:spPr>
                </pic:pic>
              </a:graphicData>
            </a:graphic>
          </wp:inline>
        </w:drawing>
      </w:r>
      <w:r>
        <w:t xml:space="preserve">   </w:t>
      </w:r>
      <w:r>
        <w:rPr>
          <w:noProof/>
          <w:lang w:eastAsia="de-DE"/>
        </w:rPr>
        <w:drawing>
          <wp:inline distT="0" distB="0" distL="0" distR="0" wp14:anchorId="2A7F4252" wp14:editId="6F20129C">
            <wp:extent cx="1173480" cy="1769275"/>
            <wp:effectExtent l="0" t="0" r="7620" b="254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vlcsnap-2016-07-22-23h36m21s896.png"/>
                    <pic:cNvPicPr/>
                  </pic:nvPicPr>
                  <pic:blipFill>
                    <a:blip r:embed="rId15" cstate="print">
                      <a:extLst>
                        <a:ext uri="{28A0092B-C50C-407E-A947-70E740481C1C}">
                          <a14:useLocalDpi xmlns:a14="http://schemas.microsoft.com/office/drawing/2010/main"/>
                        </a:ext>
                      </a:extLst>
                    </a:blip>
                    <a:stretch>
                      <a:fillRect/>
                    </a:stretch>
                  </pic:blipFill>
                  <pic:spPr>
                    <a:xfrm>
                      <a:off x="0" y="0"/>
                      <a:ext cx="1183225" cy="1783968"/>
                    </a:xfrm>
                    <a:prstGeom prst="rect">
                      <a:avLst/>
                    </a:prstGeom>
                  </pic:spPr>
                </pic:pic>
              </a:graphicData>
            </a:graphic>
          </wp:inline>
        </w:drawing>
      </w:r>
    </w:p>
    <w:p w:rsidR="007F0378" w:rsidRDefault="007F0378" w:rsidP="007F0378">
      <w:pPr>
        <w:pStyle w:val="Beschriftung"/>
        <w:jc w:val="center"/>
      </w:pPr>
      <w:r>
        <w:t xml:space="preserve">Abb. 3 - </w:t>
      </w:r>
      <w:r>
        <w:rPr>
          <w:noProof/>
        </w:rPr>
        <w:t xml:space="preserve"> Beginn der Gasentwicklung, erkennbar durch Schaumbildung, nach Essigzugabe (links), erloschenes Teelicht nach „Auskippen“ des Gases (rechts).</w:t>
      </w:r>
    </w:p>
    <w:p w:rsidR="007F0378" w:rsidRDefault="007F0378" w:rsidP="007F0378">
      <w:pPr>
        <w:tabs>
          <w:tab w:val="left" w:pos="1701"/>
          <w:tab w:val="left" w:pos="1985"/>
        </w:tabs>
        <w:ind w:left="2124" w:hanging="2124"/>
      </w:pPr>
      <w:r>
        <w:t>Deutung:</w:t>
      </w:r>
      <w:r>
        <w:tab/>
      </w:r>
      <w:r>
        <w:tab/>
      </w:r>
      <w:r>
        <w:tab/>
        <w:t xml:space="preserve">Durch das Hinzufügen des Essigs reagiert die Essigsäure mit dem vorher zu gegebenen Natriumhydrogencarbonat zu Kohlenstoffdioxid. Dieses ist schwerer als Luft und sinkt deshalb auf den Boden des Becherglases. Beim Schräghalten fließt das Gas aus dem Glas und umschließt die </w:t>
      </w:r>
      <w:r>
        <w:lastRenderedPageBreak/>
        <w:t>Kerzenflamme. Somit gelangt kein weiterer Sauerstoff an die Flamme und erstickt diese.</w:t>
      </w:r>
    </w:p>
    <w:p w:rsidR="007F0378" w:rsidRPr="00236CA1" w:rsidRDefault="007F0378" w:rsidP="007F0378">
      <w:pPr>
        <w:tabs>
          <w:tab w:val="left" w:pos="1701"/>
          <w:tab w:val="left" w:pos="1985"/>
        </w:tabs>
        <w:ind w:left="2124" w:hanging="2124"/>
        <w:rPr>
          <w:rFonts w:eastAsiaTheme="minorEastAsia"/>
          <w:sz w:val="20"/>
        </w:rPr>
      </w:pPr>
      <m:oMathPara>
        <m:oMath>
          <m:sSub>
            <m:sSubPr>
              <m:ctrlPr>
                <w:rPr>
                  <w:rFonts w:ascii="Cambria Math" w:eastAsiaTheme="minorEastAsia" w:hAnsi="Cambria Math"/>
                  <w:i/>
                  <w:sz w:val="20"/>
                </w:rPr>
              </m:ctrlPr>
            </m:sSubPr>
            <m:e>
              <m:sSub>
                <m:sSubPr>
                  <m:ctrlPr>
                    <w:rPr>
                      <w:rFonts w:ascii="Cambria Math" w:eastAsiaTheme="minorEastAsia" w:hAnsi="Cambria Math"/>
                      <w:i/>
                      <w:sz w:val="20"/>
                    </w:rPr>
                  </m:ctrlPr>
                </m:sSubPr>
                <m:e>
                  <m:r>
                    <w:rPr>
                      <w:rFonts w:ascii="Cambria Math" w:eastAsiaTheme="minorEastAsia" w:hAnsi="Cambria Math"/>
                      <w:sz w:val="20"/>
                    </w:rPr>
                    <m:t>CH</m:t>
                  </m:r>
                </m:e>
                <m:sub>
                  <m:r>
                    <w:rPr>
                      <w:rFonts w:ascii="Cambria Math" w:eastAsiaTheme="minorEastAsia" w:hAnsi="Cambria Math"/>
                      <w:sz w:val="20"/>
                    </w:rPr>
                    <m:t>3</m:t>
                  </m:r>
                </m:sub>
              </m:sSub>
              <m:r>
                <w:rPr>
                  <w:rFonts w:ascii="Cambria Math" w:eastAsiaTheme="minorEastAsia" w:hAnsi="Cambria Math"/>
                  <w:sz w:val="20"/>
                </w:rPr>
                <m:t>COOH</m:t>
              </m:r>
            </m:e>
            <m:sub>
              <m:r>
                <w:rPr>
                  <w:rFonts w:ascii="Cambria Math" w:eastAsiaTheme="minorEastAsia" w:hAnsi="Cambria Math"/>
                  <w:sz w:val="20"/>
                </w:rPr>
                <m:t>(aq)</m:t>
              </m:r>
            </m:sub>
          </m:sSub>
          <m:r>
            <w:rPr>
              <w:rFonts w:ascii="Cambria Math" w:eastAsiaTheme="minorEastAsia" w:hAnsi="Cambria Math"/>
              <w:sz w:val="20"/>
            </w:rPr>
            <m:t>+NaHC</m:t>
          </m:r>
          <m:sSub>
            <m:sSubPr>
              <m:ctrlPr>
                <w:rPr>
                  <w:rFonts w:ascii="Cambria Math" w:eastAsiaTheme="minorEastAsia" w:hAnsi="Cambria Math"/>
                  <w:i/>
                  <w:sz w:val="20"/>
                </w:rPr>
              </m:ctrlPr>
            </m:sSubPr>
            <m:e>
              <m:r>
                <w:rPr>
                  <w:rFonts w:ascii="Cambria Math" w:eastAsiaTheme="minorEastAsia" w:hAnsi="Cambria Math"/>
                  <w:sz w:val="20"/>
                </w:rPr>
                <m:t>O</m:t>
              </m:r>
            </m:e>
            <m:sub>
              <m:r>
                <w:rPr>
                  <w:rFonts w:ascii="Cambria Math" w:eastAsiaTheme="minorEastAsia" w:hAnsi="Cambria Math"/>
                  <w:sz w:val="20"/>
                </w:rPr>
                <m:t>3(s)</m:t>
              </m:r>
            </m:sub>
          </m:sSub>
          <m:r>
            <w:rPr>
              <w:rFonts w:ascii="Cambria Math" w:eastAsiaTheme="minorEastAsia" w:hAnsi="Cambria Math"/>
              <w:sz w:val="20"/>
            </w:rPr>
            <m:t xml:space="preserve">→ </m:t>
          </m:r>
          <m:sSub>
            <m:sSubPr>
              <m:ctrlPr>
                <w:rPr>
                  <w:rFonts w:ascii="Cambria Math" w:eastAsiaTheme="minorEastAsia" w:hAnsi="Cambria Math"/>
                  <w:i/>
                  <w:sz w:val="20"/>
                </w:rPr>
              </m:ctrlPr>
            </m:sSubPr>
            <m:e>
              <m:r>
                <w:rPr>
                  <w:rFonts w:ascii="Cambria Math" w:eastAsiaTheme="minorEastAsia" w:hAnsi="Cambria Math"/>
                  <w:sz w:val="20"/>
                </w:rPr>
                <m:t>CO</m:t>
              </m:r>
            </m:e>
            <m:sub>
              <m:r>
                <w:rPr>
                  <w:rFonts w:ascii="Cambria Math" w:eastAsiaTheme="minorEastAsia" w:hAnsi="Cambria Math"/>
                  <w:sz w:val="20"/>
                </w:rPr>
                <m:t>2(g)</m:t>
              </m:r>
            </m:sub>
          </m:sSub>
          <m:r>
            <w:rPr>
              <w:rFonts w:ascii="Cambria Math" w:eastAsiaTheme="minorEastAsia" w:hAnsi="Cambria Math"/>
              <w:sz w:val="20"/>
            </w:rPr>
            <m:t xml:space="preserve">+ </m:t>
          </m:r>
          <m:sSub>
            <m:sSubPr>
              <m:ctrlPr>
                <w:rPr>
                  <w:rFonts w:ascii="Cambria Math" w:eastAsiaTheme="minorEastAsia" w:hAnsi="Cambria Math"/>
                  <w:i/>
                  <w:sz w:val="20"/>
                </w:rPr>
              </m:ctrlPr>
            </m:sSubPr>
            <m:e>
              <m:sSub>
                <m:sSubPr>
                  <m:ctrlPr>
                    <w:rPr>
                      <w:rFonts w:ascii="Cambria Math" w:eastAsiaTheme="minorEastAsia" w:hAnsi="Cambria Math"/>
                      <w:i/>
                      <w:sz w:val="20"/>
                    </w:rPr>
                  </m:ctrlPr>
                </m:sSubPr>
                <m:e>
                  <m:r>
                    <w:rPr>
                      <w:rFonts w:ascii="Cambria Math" w:eastAsiaTheme="minorEastAsia" w:hAnsi="Cambria Math"/>
                      <w:sz w:val="20"/>
                    </w:rPr>
                    <m:t>H</m:t>
                  </m:r>
                </m:e>
                <m:sub>
                  <m:r>
                    <w:rPr>
                      <w:rFonts w:ascii="Cambria Math" w:eastAsiaTheme="minorEastAsia" w:hAnsi="Cambria Math"/>
                      <w:sz w:val="20"/>
                    </w:rPr>
                    <m:t>2</m:t>
                  </m:r>
                </m:sub>
              </m:sSub>
              <m:r>
                <w:rPr>
                  <w:rFonts w:ascii="Cambria Math" w:eastAsiaTheme="minorEastAsia" w:hAnsi="Cambria Math"/>
                  <w:sz w:val="20"/>
                </w:rPr>
                <m:t>O</m:t>
              </m:r>
            </m:e>
            <m:sub>
              <m:r>
                <w:rPr>
                  <w:rFonts w:ascii="Cambria Math" w:eastAsiaTheme="minorEastAsia" w:hAnsi="Cambria Math"/>
                  <w:sz w:val="20"/>
                </w:rPr>
                <m:t>(l)</m:t>
              </m:r>
            </m:sub>
          </m:sSub>
          <m:r>
            <w:rPr>
              <w:rFonts w:ascii="Cambria Math" w:eastAsiaTheme="minorEastAsia" w:hAnsi="Cambria Math"/>
              <w:sz w:val="20"/>
            </w:rPr>
            <m:t>+</m:t>
          </m:r>
          <m:sSub>
            <m:sSubPr>
              <m:ctrlPr>
                <w:rPr>
                  <w:rFonts w:ascii="Cambria Math" w:eastAsiaTheme="minorEastAsia" w:hAnsi="Cambria Math"/>
                  <w:i/>
                  <w:sz w:val="20"/>
                </w:rPr>
              </m:ctrlPr>
            </m:sSubPr>
            <m:e>
              <m:sSup>
                <m:sSupPr>
                  <m:ctrlPr>
                    <w:rPr>
                      <w:rFonts w:ascii="Cambria Math" w:eastAsiaTheme="minorEastAsia" w:hAnsi="Cambria Math"/>
                      <w:i/>
                      <w:sz w:val="20"/>
                    </w:rPr>
                  </m:ctrlPr>
                </m:sSupPr>
                <m:e>
                  <m:r>
                    <w:rPr>
                      <w:rFonts w:ascii="Cambria Math" w:eastAsiaTheme="minorEastAsia" w:hAnsi="Cambria Math"/>
                      <w:sz w:val="20"/>
                    </w:rPr>
                    <m:t>Na</m:t>
                  </m:r>
                </m:e>
                <m:sup>
                  <m:r>
                    <w:rPr>
                      <w:rFonts w:ascii="Cambria Math" w:eastAsiaTheme="minorEastAsia" w:hAnsi="Cambria Math"/>
                      <w:sz w:val="20"/>
                    </w:rPr>
                    <m:t>+</m:t>
                  </m:r>
                </m:sup>
              </m:sSup>
            </m:e>
            <m:sub>
              <m:r>
                <w:rPr>
                  <w:rFonts w:ascii="Cambria Math" w:eastAsiaTheme="minorEastAsia" w:hAnsi="Cambria Math"/>
                  <w:sz w:val="20"/>
                </w:rPr>
                <m:t>(aq)</m:t>
              </m:r>
            </m:sub>
          </m:sSub>
          <m:r>
            <w:rPr>
              <w:rFonts w:ascii="Cambria Math" w:eastAsiaTheme="minorEastAsia" w:hAnsi="Cambria Math"/>
              <w:sz w:val="20"/>
            </w:rPr>
            <m:t>+</m:t>
          </m:r>
          <m:sSub>
            <m:sSubPr>
              <m:ctrlPr>
                <w:rPr>
                  <w:rFonts w:ascii="Cambria Math" w:eastAsiaTheme="minorEastAsia" w:hAnsi="Cambria Math"/>
                  <w:i/>
                  <w:sz w:val="20"/>
                </w:rPr>
              </m:ctrlPr>
            </m:sSubPr>
            <m:e>
              <m:sSup>
                <m:sSupPr>
                  <m:ctrlPr>
                    <w:rPr>
                      <w:rFonts w:ascii="Cambria Math" w:eastAsiaTheme="minorEastAsia" w:hAnsi="Cambria Math"/>
                      <w:i/>
                      <w:sz w:val="20"/>
                    </w:rPr>
                  </m:ctrlPr>
                </m:sSupPr>
                <m:e>
                  <m:sSub>
                    <m:sSubPr>
                      <m:ctrlPr>
                        <w:rPr>
                          <w:rFonts w:ascii="Cambria Math" w:eastAsiaTheme="minorEastAsia" w:hAnsi="Cambria Math"/>
                          <w:i/>
                          <w:sz w:val="20"/>
                        </w:rPr>
                      </m:ctrlPr>
                    </m:sSubPr>
                    <m:e>
                      <m:r>
                        <w:rPr>
                          <w:rFonts w:ascii="Cambria Math" w:eastAsiaTheme="minorEastAsia" w:hAnsi="Cambria Math"/>
                          <w:sz w:val="20"/>
                        </w:rPr>
                        <m:t>CH</m:t>
                      </m:r>
                    </m:e>
                    <m:sub>
                      <m:r>
                        <w:rPr>
                          <w:rFonts w:ascii="Cambria Math" w:eastAsiaTheme="minorEastAsia" w:hAnsi="Cambria Math"/>
                          <w:sz w:val="20"/>
                        </w:rPr>
                        <m:t>3</m:t>
                      </m:r>
                    </m:sub>
                  </m:sSub>
                  <m:r>
                    <w:rPr>
                      <w:rFonts w:ascii="Cambria Math" w:eastAsiaTheme="minorEastAsia" w:hAnsi="Cambria Math"/>
                      <w:sz w:val="20"/>
                    </w:rPr>
                    <m:t>COO</m:t>
                  </m:r>
                </m:e>
                <m:sup>
                  <m:r>
                    <w:rPr>
                      <w:rFonts w:ascii="Cambria Math" w:eastAsiaTheme="minorEastAsia" w:hAnsi="Cambria Math"/>
                      <w:sz w:val="20"/>
                    </w:rPr>
                    <m:t>-</m:t>
                  </m:r>
                </m:sup>
              </m:sSup>
            </m:e>
            <m:sub>
              <m:r>
                <w:rPr>
                  <w:rFonts w:ascii="Cambria Math" w:eastAsiaTheme="minorEastAsia" w:hAnsi="Cambria Math"/>
                  <w:sz w:val="20"/>
                </w:rPr>
                <m:t>(aq)</m:t>
              </m:r>
            </m:sub>
          </m:sSub>
        </m:oMath>
      </m:oMathPara>
    </w:p>
    <w:p w:rsidR="007F0378" w:rsidRDefault="007F0378" w:rsidP="007F0378">
      <w:pPr>
        <w:spacing w:line="276" w:lineRule="auto"/>
        <w:jc w:val="left"/>
      </w:pPr>
      <w:r>
        <w:t>Entsorgung:</w:t>
      </w:r>
      <w:r>
        <w:tab/>
        <w:t xml:space="preserve">           </w:t>
      </w:r>
      <w:r>
        <w:tab/>
        <w:t>Die Entsorgung kann kommunal erfolgen.</w:t>
      </w:r>
    </w:p>
    <w:p w:rsidR="007F0378" w:rsidRDefault="007F0378" w:rsidP="007F0378">
      <w:pPr>
        <w:spacing w:line="276" w:lineRule="auto"/>
        <w:ind w:left="2130" w:hanging="2130"/>
        <w:jc w:val="left"/>
        <w:rPr>
          <w:color w:val="auto"/>
        </w:rPr>
      </w:pPr>
      <w:r>
        <w:t>Literatur:</w:t>
      </w:r>
      <w:r>
        <w:tab/>
      </w:r>
      <w:r>
        <w:rPr>
          <w:color w:val="auto"/>
        </w:rPr>
        <w:t xml:space="preserve">[1] Dr. A. </w:t>
      </w:r>
      <w:proofErr w:type="spellStart"/>
      <w:r>
        <w:rPr>
          <w:color w:val="auto"/>
        </w:rPr>
        <w:t>Rosakis</w:t>
      </w:r>
      <w:proofErr w:type="spellEnd"/>
      <w:r>
        <w:rPr>
          <w:color w:val="auto"/>
        </w:rPr>
        <w:t xml:space="preserve">, Dr. S. Kastner, </w:t>
      </w:r>
      <w:hyperlink r:id="rId16" w:history="1">
        <w:r w:rsidRPr="00426E7F">
          <w:rPr>
            <w:rStyle w:val="Hyperlink"/>
            <w:color w:val="auto"/>
          </w:rPr>
          <w:t>http://www.simplyscience.ch/teens-experimente-feuer-strom/articles/feuerloescher-selbst-gemacht.html</w:t>
        </w:r>
      </w:hyperlink>
      <w:r>
        <w:rPr>
          <w:color w:val="auto"/>
        </w:rPr>
        <w:t>, 01.10.2014 (zuletzt abgerufen am 23.07.2016).</w:t>
      </w:r>
    </w:p>
    <w:p w:rsidR="007F0378" w:rsidRPr="005B60E3" w:rsidRDefault="007F0378" w:rsidP="007F0378">
      <w:pPr>
        <w:spacing w:line="276" w:lineRule="auto"/>
        <w:ind w:left="2130" w:hanging="2130"/>
        <w:jc w:val="left"/>
        <w:rPr>
          <w:rFonts w:asciiTheme="majorHAnsi" w:eastAsiaTheme="majorEastAsia" w:hAnsiTheme="majorHAnsi" w:cstheme="majorBidi"/>
          <w:b/>
          <w:bCs/>
          <w:sz w:val="28"/>
          <w:szCs w:val="28"/>
        </w:rPr>
      </w:pPr>
      <w:r>
        <w:rPr>
          <w:noProof/>
          <w:lang w:eastAsia="de-DE"/>
        </w:rPr>
        <mc:AlternateContent>
          <mc:Choice Requires="wps">
            <w:drawing>
              <wp:inline distT="0" distB="0" distL="0" distR="0" wp14:anchorId="3C76EE2C" wp14:editId="399BDF6F">
                <wp:extent cx="5760720" cy="1057275"/>
                <wp:effectExtent l="0" t="0" r="11430" b="28575"/>
                <wp:docPr id="7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572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0378" w:rsidRPr="00F31EBF" w:rsidRDefault="007F0378" w:rsidP="007F0378">
                            <w:pPr>
                              <w:rPr>
                                <w:color w:val="auto"/>
                              </w:rPr>
                            </w:pPr>
                            <w:r w:rsidRPr="00F31EBF">
                              <w:rPr>
                                <w:b/>
                                <w:color w:val="auto"/>
                              </w:rPr>
                              <w:t xml:space="preserve">Unterrichtsanschlüsse </w:t>
                            </w:r>
                            <w:r>
                              <w:rPr>
                                <w:color w:val="auto"/>
                              </w:rPr>
                              <w:t xml:space="preserve">Im Verlauf dieser Unterrichtseinheit sollen drei verschiedene Feuerlöscher selbst gebaut werden. Im Anschluss daran sollen die SuS anhand ihres neuerlangten Wissens einschätzen können bei welchem Brennmaterial welcher </w:t>
                            </w:r>
                            <w:proofErr w:type="spellStart"/>
                            <w:r>
                              <w:rPr>
                                <w:color w:val="auto"/>
                              </w:rPr>
                              <w:t>Feuerlöschertyp</w:t>
                            </w:r>
                            <w:proofErr w:type="spellEnd"/>
                            <w:r>
                              <w:rPr>
                                <w:color w:val="auto"/>
                              </w:rPr>
                              <w:t xml:space="preserve"> verwendet werden muss.</w:t>
                            </w:r>
                          </w:p>
                          <w:p w:rsidR="007F0378" w:rsidRPr="00F31EBF" w:rsidRDefault="007F0378" w:rsidP="007F0378">
                            <w:pPr>
                              <w:rPr>
                                <w:color w:val="auto"/>
                              </w:rPr>
                            </w:pPr>
                          </w:p>
                        </w:txbxContent>
                      </wps:txbx>
                      <wps:bodyPr rot="0" vert="horz" wrap="square" lIns="91440" tIns="45720" rIns="91440" bIns="45720" anchor="t" anchorCtr="0" upright="1">
                        <a:noAutofit/>
                      </wps:bodyPr>
                    </wps:wsp>
                  </a:graphicData>
                </a:graphic>
              </wp:inline>
            </w:drawing>
          </mc:Choice>
          <mc:Fallback>
            <w:pict>
              <v:shape w14:anchorId="3C76EE2C" id="Text Box 131" o:spid="_x0000_s1027" type="#_x0000_t202" style="width:453.6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" fillcolor="white [3201]" strokecolor="#ed7d31 [3205]" strokeweight="1pt">
                <v:stroke dashstyle="dash"/>
                <v:shadow color="#868686"/>
                <v:textbox>
                  <w:txbxContent>
                    <w:p w:rsidR="007F0378" w:rsidRPr="00F31EBF" w:rsidRDefault="007F0378" w:rsidP="007F0378">
                      <w:pPr>
                        <w:rPr>
                          <w:color w:val="auto"/>
                        </w:rPr>
                      </w:pPr>
                      <w:r w:rsidRPr="00F31EBF">
                        <w:rPr>
                          <w:b/>
                          <w:color w:val="auto"/>
                        </w:rPr>
                        <w:t xml:space="preserve">Unterrichtsanschlüsse </w:t>
                      </w:r>
                      <w:r>
                        <w:rPr>
                          <w:color w:val="auto"/>
                        </w:rPr>
                        <w:t xml:space="preserve">Im Verlauf dieser Unterrichtseinheit sollen drei verschiedene Feuerlöscher selbst gebaut werden. Im Anschluss daran sollen die SuS anhand ihres neuerlangten Wissens einschätzen können bei welchem Brennmaterial welcher </w:t>
                      </w:r>
                      <w:proofErr w:type="spellStart"/>
                      <w:r>
                        <w:rPr>
                          <w:color w:val="auto"/>
                        </w:rPr>
                        <w:t>Feuerlöschertyp</w:t>
                      </w:r>
                      <w:proofErr w:type="spellEnd"/>
                      <w:r>
                        <w:rPr>
                          <w:color w:val="auto"/>
                        </w:rPr>
                        <w:t xml:space="preserve"> verwendet werden muss.</w:t>
                      </w:r>
                    </w:p>
                    <w:p w:rsidR="007F0378" w:rsidRPr="00F31EBF" w:rsidRDefault="007F0378" w:rsidP="007F0378">
                      <w:pPr>
                        <w:rPr>
                          <w:color w:val="auto"/>
                        </w:rPr>
                      </w:pPr>
                    </w:p>
                  </w:txbxContent>
                </v:textbox>
                <w10:anchorlock/>
              </v:shape>
            </w:pict>
          </mc:Fallback>
        </mc:AlternateContent>
      </w:r>
    </w:p>
    <w:p w:rsidR="007F0378" w:rsidRDefault="007F0378" w:rsidP="007F0378">
      <w:pPr>
        <w:pStyle w:val="berschrift2"/>
        <w:numPr>
          <w:ilvl w:val="0"/>
          <w:numId w:val="0"/>
        </w:numPr>
        <w:rPr>
          <w:color w:val="auto"/>
        </w:rPr>
      </w:pPr>
    </w:p>
    <w:p w:rsidR="00EB619B" w:rsidRDefault="007F0378"/>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78"/>
    <w:rsid w:val="000C761C"/>
    <w:rsid w:val="00125E17"/>
    <w:rsid w:val="00176474"/>
    <w:rsid w:val="0034208B"/>
    <w:rsid w:val="003E3AD9"/>
    <w:rsid w:val="00641C7C"/>
    <w:rsid w:val="006B6773"/>
    <w:rsid w:val="006E23EA"/>
    <w:rsid w:val="007633FF"/>
    <w:rsid w:val="007F0378"/>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9277A-BFEB-450B-AC46-86BA62FF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7F037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F037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F037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F037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F037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7F037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7F037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7F037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F037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F037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37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7F037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7F037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7F037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7F037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7F037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7F037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F037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F037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F0378"/>
    <w:pPr>
      <w:spacing w:line="240" w:lineRule="auto"/>
    </w:pPr>
    <w:rPr>
      <w:bCs/>
      <w:color w:val="auto"/>
      <w:sz w:val="18"/>
      <w:szCs w:val="18"/>
    </w:rPr>
  </w:style>
  <w:style w:type="character" w:styleId="Hyperlink">
    <w:name w:val="Hyperlink"/>
    <w:basedOn w:val="Absatz-Standardschriftart"/>
    <w:uiPriority w:val="99"/>
    <w:unhideWhenUsed/>
    <w:rsid w:val="007F03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implyscience.ch/teens-experimente-feuer-strom/articles/feuerloescher-selbst-gemacht.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1444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2016-08-08T18:15:00Z</dcterms:created>
  <dcterms:modified xsi:type="dcterms:W3CDTF">2016-08-08T18:18:00Z</dcterms:modified>
</cp:coreProperties>
</file>