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EB" w:rsidRPr="00CC307A" w:rsidRDefault="009E2FEB" w:rsidP="009E2FEB">
      <w:pPr>
        <w:pStyle w:val="berschrift2"/>
        <w:rPr>
          <w:color w:val="auto"/>
        </w:rPr>
      </w:pPr>
      <w:bookmarkStart w:id="0" w:name="_Toc457302146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6F31B" wp14:editId="7DB9193D">
                <wp:simplePos x="0" y="0"/>
                <wp:positionH relativeFrom="margin">
                  <wp:align>left</wp:align>
                </wp:positionH>
                <wp:positionV relativeFrom="paragraph">
                  <wp:posOffset>397510</wp:posOffset>
                </wp:positionV>
                <wp:extent cx="5873115" cy="571500"/>
                <wp:effectExtent l="0" t="0" r="13335" b="19050"/>
                <wp:wrapSquare wrapText="bothSides"/>
                <wp:docPr id="6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71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2FEB" w:rsidRPr="00F31EBF" w:rsidRDefault="009E2FEB" w:rsidP="009E2FEB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Bei diesem Versuch sollen die SuS eine Teelichtflamme aufgrund ihrer Temperaturzonen untersuchen und mithilfe eines Glimmspans den kältesten Punkt in einer Brennerflamme bestimmen.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6F31B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0;margin-top:31.3pt;width:462.45pt;height: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" fillcolor="white [3201]" strokecolor="#4472c4 [3208]" strokeweight="1pt">
                <v:stroke dashstyle="dash"/>
                <v:shadow color="#868686"/>
                <v:textbox>
                  <w:txbxContent>
                    <w:p w:rsidR="009E2FEB" w:rsidRPr="00F31EBF" w:rsidRDefault="009E2FEB" w:rsidP="009E2FEB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Bei diesem Versuch sollen die SuS eine Teelichtflamme aufgrund ihrer Temperaturzonen untersuchen und mithilfe eines Glimmspans den kältesten Punkt in einer Brennerflamme bestimmen.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auto"/>
        </w:rPr>
        <w:t>V4</w:t>
      </w:r>
      <w:r w:rsidRPr="00CC307A">
        <w:rPr>
          <w:color w:val="auto"/>
        </w:rPr>
        <w:t xml:space="preserve"> – </w:t>
      </w:r>
      <w:bookmarkStart w:id="1" w:name="_GoBack"/>
      <w:r>
        <w:rPr>
          <w:color w:val="auto"/>
        </w:rPr>
        <w:t>Aufbau einer Teelichtflamme</w:t>
      </w:r>
      <w:bookmarkEnd w:id="0"/>
    </w:p>
    <w:bookmarkEnd w:id="1"/>
    <w:p w:rsidR="009E2FEB" w:rsidRDefault="009E2FEB" w:rsidP="009E2FEB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9E2FEB" w:rsidRPr="009C5E28" w:rsidTr="009236E9">
        <w:tc>
          <w:tcPr>
            <w:tcW w:w="9322" w:type="dxa"/>
            <w:gridSpan w:val="9"/>
            <w:shd w:val="clear" w:color="auto" w:fill="4F81BD"/>
            <w:vAlign w:val="center"/>
          </w:tcPr>
          <w:p w:rsidR="009E2FEB" w:rsidRPr="00F31EBF" w:rsidRDefault="009E2FEB" w:rsidP="009236E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9E2FEB" w:rsidRPr="009C5E28" w:rsidTr="009236E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E2FEB" w:rsidRPr="009C5E28" w:rsidRDefault="009E2FEB" w:rsidP="009236E9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E2FEB" w:rsidRPr="00D92217" w:rsidRDefault="009E2FEB" w:rsidP="009236E9">
            <w:pPr>
              <w:spacing w:after="0"/>
              <w:jc w:val="center"/>
              <w:rPr>
                <w:sz w:val="20"/>
                <w:szCs w:val="20"/>
              </w:rPr>
            </w:pPr>
            <w:r w:rsidRPr="00D92217">
              <w:rPr>
                <w:sz w:val="20"/>
                <w:szCs w:val="20"/>
              </w:rPr>
              <w:t xml:space="preserve">H: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E2FEB" w:rsidRPr="00D92217" w:rsidRDefault="009E2FEB" w:rsidP="009236E9">
            <w:pPr>
              <w:spacing w:after="0"/>
              <w:jc w:val="center"/>
              <w:rPr>
                <w:sz w:val="20"/>
                <w:szCs w:val="20"/>
              </w:rPr>
            </w:pPr>
            <w:r w:rsidRPr="00D92217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-</w:t>
            </w:r>
          </w:p>
        </w:tc>
      </w:tr>
      <w:tr w:rsidR="009E2FEB" w:rsidRPr="009C5E28" w:rsidTr="009236E9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E2FEB" w:rsidRPr="009C5E28" w:rsidRDefault="009E2FEB" w:rsidP="009236E9">
            <w:pPr>
              <w:spacing w:after="0"/>
              <w:jc w:val="center"/>
              <w:rPr>
                <w:b/>
                <w:bCs/>
              </w:rPr>
            </w:pPr>
            <w:r w:rsidRPr="00336881">
              <w:rPr>
                <w:rFonts w:asciiTheme="majorHAnsi" w:hAnsiTheme="majorHAnsi"/>
                <w:b/>
                <w:noProof/>
                <w:color w:val="auto"/>
                <w:lang w:eastAsia="de-DE"/>
              </w:rPr>
              <w:drawing>
                <wp:inline distT="0" distB="0" distL="0" distR="0" wp14:anchorId="410A2F79" wp14:editId="3ECC079A">
                  <wp:extent cx="538061" cy="540000"/>
                  <wp:effectExtent l="0" t="0" r="0" b="0"/>
                  <wp:docPr id="65" name="Bild 6" descr="C:\Users\TOSHIBA\Desktop\SVP_Chemie\Protokolle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OSHIBA\Desktop\SVP_Chemie\Protokolle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6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E2FEB" w:rsidRPr="009C5E28" w:rsidRDefault="009E2FEB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44C8633" wp14:editId="76C5118A">
                  <wp:extent cx="504190" cy="504190"/>
                  <wp:effectExtent l="0" t="0" r="0" b="0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E2FEB" w:rsidRPr="009C5E28" w:rsidRDefault="009E2FEB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13ED220" wp14:editId="620FB3D2">
                  <wp:extent cx="504190" cy="504190"/>
                  <wp:effectExtent l="0" t="0" r="0" b="0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E2FEB" w:rsidRPr="009C5E28" w:rsidRDefault="009E2FEB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F7260DA" wp14:editId="31FA36CE">
                  <wp:extent cx="504190" cy="504190"/>
                  <wp:effectExtent l="0" t="0" r="0" b="0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E2FEB" w:rsidRPr="009C5E28" w:rsidRDefault="009E2FEB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7154BBC" wp14:editId="37074F67">
                  <wp:extent cx="504190" cy="504190"/>
                  <wp:effectExtent l="0" t="0" r="0" b="0"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E2FEB" w:rsidRPr="009C5E28" w:rsidRDefault="009E2FEB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E7DEFAC" wp14:editId="30605760">
                  <wp:extent cx="504190" cy="504190"/>
                  <wp:effectExtent l="0" t="0" r="0" b="0"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E2FEB" w:rsidRPr="009C5E28" w:rsidRDefault="009E2FEB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B04D90F" wp14:editId="040816D4">
                  <wp:extent cx="504190" cy="504190"/>
                  <wp:effectExtent l="0" t="0" r="0" b="0"/>
                  <wp:docPr id="72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E2FEB" w:rsidRPr="009C5E28" w:rsidRDefault="009E2FEB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5607897" wp14:editId="20FF0DD4">
                  <wp:extent cx="511175" cy="511175"/>
                  <wp:effectExtent l="0" t="0" r="0" b="0"/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E2FEB" w:rsidRPr="009C5E28" w:rsidRDefault="009E2FEB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3C230BD" wp14:editId="7BD4C1BC">
                  <wp:extent cx="504190" cy="504190"/>
                  <wp:effectExtent l="0" t="0" r="0" b="0"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FEB" w:rsidRDefault="009E2FEB" w:rsidP="009E2FEB">
      <w:pPr>
        <w:tabs>
          <w:tab w:val="left" w:pos="1701"/>
          <w:tab w:val="left" w:pos="1985"/>
        </w:tabs>
        <w:ind w:left="1980" w:hanging="1980"/>
      </w:pPr>
    </w:p>
    <w:p w:rsidR="009E2FEB" w:rsidRDefault="009E2FEB" w:rsidP="009E2FEB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Kerze, Gasbrenner, Glimmspan</w:t>
      </w:r>
    </w:p>
    <w:p w:rsidR="009E2FEB" w:rsidRPr="00ED07C2" w:rsidRDefault="009E2FEB" w:rsidP="009E2FEB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-</w:t>
      </w:r>
    </w:p>
    <w:p w:rsidR="009E2FEB" w:rsidRDefault="009E2FEB" w:rsidP="009E2FEB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1. Die Flamme eines Teelichts wird genauer betrachtet und unterschiedliche Zonen in einer Skizze festgehalten.</w:t>
      </w:r>
    </w:p>
    <w:p w:rsidR="009E2FEB" w:rsidRDefault="009E2FEB" w:rsidP="009E2FEB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2. Eine kalte Porzellanschale wird in die leuchtende Flamme gehalten.</w:t>
      </w:r>
    </w:p>
    <w:p w:rsidR="009E2FEB" w:rsidRDefault="009E2FEB" w:rsidP="009E2FEB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3. Ein Glimmspan wird in einen Gasbrenner kurz über den Flammkegel gehalten. Anschließend erfolgt eine genauere Betrachtung des Glimmspans.</w:t>
      </w:r>
    </w:p>
    <w:p w:rsidR="009E2FEB" w:rsidRDefault="009E2FEB" w:rsidP="009E2FEB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Es lassen sich Unterschiede in der Flammenfärbung (aufgrund von unterschiedlichen Temperaturzonen) feststellen. An der Porzellanschale bildet sich ein schwarzer Rückstand. Der Glimmspan ist in diesem Bereich nicht schwarz geworden.</w:t>
      </w:r>
    </w:p>
    <w:p w:rsidR="009E2FEB" w:rsidRDefault="009E2FEB" w:rsidP="009E2FEB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 xml:space="preserve">Die leuchtende Flamme wird auch </w:t>
      </w:r>
      <w:proofErr w:type="spellStart"/>
      <w:r>
        <w:t>Rußzone</w:t>
      </w:r>
      <w:proofErr w:type="spellEnd"/>
      <w:r>
        <w:t xml:space="preserve"> genannt. Der schwarze Rückstand ist Ruß.</w:t>
      </w:r>
    </w:p>
    <w:p w:rsidR="009E2FEB" w:rsidRDefault="009E2FEB" w:rsidP="009E2FEB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ab/>
      </w:r>
      <w:r>
        <w:tab/>
      </w:r>
      <w:r>
        <w:tab/>
        <w:t>Der Glimmspan entzündet sich in der dunklen Zone nicht, da die Temperatur hier nicht hoch genug ist.</w:t>
      </w:r>
    </w:p>
    <w:p w:rsidR="009E2FEB" w:rsidRDefault="009E2FEB" w:rsidP="009E2FEB">
      <w:pPr>
        <w:spacing w:line="276" w:lineRule="auto"/>
        <w:jc w:val="left"/>
      </w:pPr>
      <w:r>
        <w:t>Entsorgung:</w:t>
      </w:r>
      <w:r>
        <w:tab/>
        <w:t xml:space="preserve">           </w:t>
      </w:r>
      <w:r>
        <w:tab/>
        <w:t>Das Teelicht kann wiederverwertet werden.</w:t>
      </w:r>
    </w:p>
    <w:p w:rsidR="009E2FEB" w:rsidRDefault="009E2FEB" w:rsidP="009E2FEB">
      <w:pPr>
        <w:spacing w:line="276" w:lineRule="auto"/>
        <w:ind w:left="2130" w:hanging="2130"/>
        <w:jc w:val="left"/>
        <w:rPr>
          <w:rFonts w:asciiTheme="majorHAnsi" w:hAnsiTheme="majorHAnsi"/>
        </w:rPr>
      </w:pPr>
      <w:r>
        <w:t>Literatur:</w:t>
      </w:r>
      <w:r>
        <w:tab/>
      </w:r>
      <w:r>
        <w:rPr>
          <w:color w:val="auto"/>
        </w:rPr>
        <w:t xml:space="preserve">[4] </w:t>
      </w:r>
      <w:r>
        <w:rPr>
          <w:rFonts w:asciiTheme="majorHAnsi" w:hAnsiTheme="majorHAnsi"/>
        </w:rPr>
        <w:t xml:space="preserve">E. Stöckl, Dr. R. </w:t>
      </w:r>
      <w:proofErr w:type="spellStart"/>
      <w:r>
        <w:rPr>
          <w:rFonts w:asciiTheme="majorHAnsi" w:hAnsiTheme="majorHAnsi"/>
        </w:rPr>
        <w:t>Worg</w:t>
      </w:r>
      <w:proofErr w:type="spellEnd"/>
      <w:r>
        <w:rPr>
          <w:rFonts w:asciiTheme="majorHAnsi" w:hAnsiTheme="majorHAnsi"/>
        </w:rPr>
        <w:t>, Materialien zum neuen Fach Natur und Technik – Lernzirkel zum Thema Feuer, Staatsinstitut für Schulpädagogik und Bildungsforschung München, 2003, S. 15</w:t>
      </w:r>
    </w:p>
    <w:p w:rsidR="009E2FEB" w:rsidRDefault="009E2FEB" w:rsidP="009E2FEB">
      <w:pPr>
        <w:spacing w:line="276" w:lineRule="auto"/>
        <w:ind w:left="2130" w:hanging="2130"/>
        <w:jc w:val="left"/>
        <w:rPr>
          <w:rFonts w:asciiTheme="majorHAnsi" w:hAnsiTheme="majorHAnsi"/>
        </w:rPr>
      </w:pPr>
    </w:p>
    <w:p w:rsidR="009E2FEB" w:rsidRPr="005B60E3" w:rsidRDefault="009E2FEB" w:rsidP="009E2FEB">
      <w:pPr>
        <w:spacing w:line="276" w:lineRule="auto"/>
        <w:ind w:left="2130" w:hanging="2130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inline distT="0" distB="0" distL="0" distR="0" wp14:anchorId="2C194BE6" wp14:editId="6181811B">
                <wp:extent cx="5760720" cy="2438400"/>
                <wp:effectExtent l="0" t="0" r="11430" b="19050"/>
                <wp:docPr id="8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438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2FEB" w:rsidRDefault="009E2FEB" w:rsidP="009E2FEB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ind w:left="1980" w:hanging="1980"/>
                            </w:pPr>
                            <w:r w:rsidRPr="00F31EBF">
                              <w:rPr>
                                <w:b/>
                                <w:color w:val="auto"/>
                              </w:rPr>
                              <w:t xml:space="preserve">Unterrichtsanschlüsse </w:t>
                            </w:r>
                            <w:r w:rsidRPr="00D12F27">
                              <w:rPr>
                                <w:color w:val="auto"/>
                              </w:rPr>
                              <w:t>Mögliche Arbeitsaufträge nach diesem Versuch können lauten:</w:t>
                            </w:r>
                            <w:r>
                              <w:t xml:space="preserve"> </w:t>
                            </w:r>
                          </w:p>
                          <w:p w:rsidR="009E2FEB" w:rsidRDefault="009E2FEB" w:rsidP="009E2FEB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ind w:left="1980" w:hanging="1980"/>
                            </w:pPr>
                            <w:r>
                              <w:t>Ordnen sie den drei Zonen folgende Begriffe zu</w:t>
                            </w:r>
                          </w:p>
                          <w:p w:rsidR="009E2FEB" w:rsidRDefault="009E2FEB" w:rsidP="009E2FEB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ind w:left="1980" w:hanging="1980"/>
                            </w:pPr>
                            <w:r>
                              <w:tab/>
                              <w:t>Leuchtende, gelbe Zone – dunkle Zone – bläulicher Flammensaum</w:t>
                            </w:r>
                          </w:p>
                          <w:p w:rsidR="009E2FEB" w:rsidRDefault="009E2FEB" w:rsidP="009E2FEB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ind w:left="1980" w:hanging="1980"/>
                            </w:pPr>
                            <w:r>
                              <w:t>Ordnen sie anschließend den Flammenzonen folgende Begriffe zu</w:t>
                            </w:r>
                          </w:p>
                          <w:p w:rsidR="009E2FEB" w:rsidRDefault="009E2FEB" w:rsidP="009E2FEB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ind w:left="1980" w:hanging="1980"/>
                            </w:pPr>
                            <w:r>
                              <w:tab/>
                            </w:r>
                            <w:proofErr w:type="spellStart"/>
                            <w:r>
                              <w:t>Rußzone</w:t>
                            </w:r>
                            <w:proofErr w:type="spellEnd"/>
                            <w:r>
                              <w:t xml:space="preserve"> – guter Luftzutritt – niedrige Temperatur</w:t>
                            </w:r>
                          </w:p>
                          <w:p w:rsidR="009E2FEB" w:rsidRDefault="009E2FEB" w:rsidP="009E2FEB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ind w:left="1980" w:hanging="1980"/>
                            </w:pPr>
                            <w:r>
                              <w:t>Der Versuch dient zur Verdeutlichung dafür, dass eine (Kerzen-)Flamme nicht überall die gleiche Temperatur besitzt.</w:t>
                            </w:r>
                          </w:p>
                          <w:p w:rsidR="009E2FEB" w:rsidRDefault="009E2FEB" w:rsidP="009E2FEB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ind w:left="1980" w:hanging="1980"/>
                            </w:pPr>
                          </w:p>
                          <w:p w:rsidR="009E2FEB" w:rsidRPr="00F31EBF" w:rsidRDefault="009E2FEB" w:rsidP="009E2FEB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9E2FEB" w:rsidRPr="00F31EBF" w:rsidRDefault="009E2FEB" w:rsidP="009E2FEB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194BE6" id="Text Box 131" o:spid="_x0000_s1027" type="#_x0000_t202" style="width:453.6pt;height:1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" fillcolor="white [3201]" strokecolor="#ed7d31 [3205]" strokeweight="1pt">
                <v:stroke dashstyle="dash"/>
                <v:shadow color="#868686"/>
                <v:textbox>
                  <w:txbxContent>
                    <w:p w:rsidR="009E2FEB" w:rsidRDefault="009E2FEB" w:rsidP="009E2FEB">
                      <w:pPr>
                        <w:tabs>
                          <w:tab w:val="left" w:pos="1701"/>
                          <w:tab w:val="left" w:pos="1985"/>
                        </w:tabs>
                        <w:ind w:left="1980" w:hanging="1980"/>
                      </w:pPr>
                      <w:r w:rsidRPr="00F31EBF">
                        <w:rPr>
                          <w:b/>
                          <w:color w:val="auto"/>
                        </w:rPr>
                        <w:t xml:space="preserve">Unterrichtsanschlüsse </w:t>
                      </w:r>
                      <w:r w:rsidRPr="00D12F27">
                        <w:rPr>
                          <w:color w:val="auto"/>
                        </w:rPr>
                        <w:t>Mögliche Arbeitsaufträge nach diesem Versuch können lauten:</w:t>
                      </w:r>
                      <w:r>
                        <w:t xml:space="preserve"> </w:t>
                      </w:r>
                    </w:p>
                    <w:p w:rsidR="009E2FEB" w:rsidRDefault="009E2FEB" w:rsidP="009E2FEB">
                      <w:pPr>
                        <w:tabs>
                          <w:tab w:val="left" w:pos="1701"/>
                          <w:tab w:val="left" w:pos="1985"/>
                        </w:tabs>
                        <w:ind w:left="1980" w:hanging="1980"/>
                      </w:pPr>
                      <w:r>
                        <w:t>Ordnen sie den drei Zonen folgende Begriffe zu</w:t>
                      </w:r>
                    </w:p>
                    <w:p w:rsidR="009E2FEB" w:rsidRDefault="009E2FEB" w:rsidP="009E2FEB">
                      <w:pPr>
                        <w:tabs>
                          <w:tab w:val="left" w:pos="1701"/>
                          <w:tab w:val="left" w:pos="1985"/>
                        </w:tabs>
                        <w:ind w:left="1980" w:hanging="1980"/>
                      </w:pPr>
                      <w:r>
                        <w:tab/>
                        <w:t>Leuchtende, gelbe Zone – dunkle Zone – bläulicher Flammensaum</w:t>
                      </w:r>
                    </w:p>
                    <w:p w:rsidR="009E2FEB" w:rsidRDefault="009E2FEB" w:rsidP="009E2FEB">
                      <w:pPr>
                        <w:tabs>
                          <w:tab w:val="left" w:pos="1701"/>
                          <w:tab w:val="left" w:pos="1985"/>
                        </w:tabs>
                        <w:ind w:left="1980" w:hanging="1980"/>
                      </w:pPr>
                      <w:r>
                        <w:t>Ordnen sie anschließend den Flammenzonen folgende Begriffe zu</w:t>
                      </w:r>
                    </w:p>
                    <w:p w:rsidR="009E2FEB" w:rsidRDefault="009E2FEB" w:rsidP="009E2FEB">
                      <w:pPr>
                        <w:tabs>
                          <w:tab w:val="left" w:pos="1701"/>
                          <w:tab w:val="left" w:pos="1985"/>
                        </w:tabs>
                        <w:ind w:left="1980" w:hanging="1980"/>
                      </w:pPr>
                      <w:r>
                        <w:tab/>
                      </w:r>
                      <w:proofErr w:type="spellStart"/>
                      <w:r>
                        <w:t>Rußzone</w:t>
                      </w:r>
                      <w:proofErr w:type="spellEnd"/>
                      <w:r>
                        <w:t xml:space="preserve"> – guter Luftzutritt – niedrige Temperatur</w:t>
                      </w:r>
                    </w:p>
                    <w:p w:rsidR="009E2FEB" w:rsidRDefault="009E2FEB" w:rsidP="009E2FEB">
                      <w:pPr>
                        <w:tabs>
                          <w:tab w:val="left" w:pos="1701"/>
                          <w:tab w:val="left" w:pos="1985"/>
                        </w:tabs>
                        <w:ind w:left="1980" w:hanging="1980"/>
                      </w:pPr>
                      <w:r>
                        <w:t>Der Versuch dient zur Verdeutlichung dafür, dass eine (Kerzen-)Flamme nicht überall die gleiche Temperatur besitzt.</w:t>
                      </w:r>
                    </w:p>
                    <w:p w:rsidR="009E2FEB" w:rsidRDefault="009E2FEB" w:rsidP="009E2FEB">
                      <w:pPr>
                        <w:tabs>
                          <w:tab w:val="left" w:pos="1701"/>
                          <w:tab w:val="left" w:pos="1985"/>
                        </w:tabs>
                        <w:ind w:left="1980" w:hanging="1980"/>
                      </w:pPr>
                    </w:p>
                    <w:p w:rsidR="009E2FEB" w:rsidRPr="00F31EBF" w:rsidRDefault="009E2FEB" w:rsidP="009E2FEB">
                      <w:pPr>
                        <w:rPr>
                          <w:color w:val="auto"/>
                        </w:rPr>
                      </w:pPr>
                    </w:p>
                    <w:p w:rsidR="009E2FEB" w:rsidRPr="00F31EBF" w:rsidRDefault="009E2FEB" w:rsidP="009E2FEB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E2FEB" w:rsidRDefault="009E2FEB" w:rsidP="009E2FEB">
      <w:pPr>
        <w:tabs>
          <w:tab w:val="left" w:pos="1701"/>
          <w:tab w:val="left" w:pos="1985"/>
        </w:tabs>
        <w:rPr>
          <w:color w:val="44546A" w:themeColor="text2"/>
        </w:rPr>
      </w:pPr>
    </w:p>
    <w:p w:rsidR="00EB619B" w:rsidRDefault="009E2FEB"/>
    <w:sectPr w:rsidR="00EB61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EB"/>
    <w:rsid w:val="000C761C"/>
    <w:rsid w:val="00125E17"/>
    <w:rsid w:val="00176474"/>
    <w:rsid w:val="0034208B"/>
    <w:rsid w:val="003E3AD9"/>
    <w:rsid w:val="00641C7C"/>
    <w:rsid w:val="006B6773"/>
    <w:rsid w:val="006E23EA"/>
    <w:rsid w:val="007633FF"/>
    <w:rsid w:val="00855922"/>
    <w:rsid w:val="00990B4C"/>
    <w:rsid w:val="009E2FEB"/>
    <w:rsid w:val="00A22302"/>
    <w:rsid w:val="00B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F2B8-4E95-4702-BE7D-6DEDEE98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9E2FEB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E2FEB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2FE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E2FEB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2FE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2FE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2FE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2FE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2FE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2FE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2FEB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E2FEB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E2FEB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2FE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2F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2F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2F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2F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2F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Ann-Kathrin Röver</dc:creator>
  <cp:keywords/>
  <dc:description/>
  <cp:lastModifiedBy>Ann-Kathrin Röver</cp:lastModifiedBy>
  <cp:revision>1</cp:revision>
  <dcterms:created xsi:type="dcterms:W3CDTF">2016-08-08T18:18:00Z</dcterms:created>
  <dcterms:modified xsi:type="dcterms:W3CDTF">2016-08-08T18:21:00Z</dcterms:modified>
</cp:coreProperties>
</file>