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4A" w:rsidRPr="00984EF9" w:rsidRDefault="007F604A" w:rsidP="007F604A">
      <w:pPr>
        <w:pStyle w:val="berschrift2"/>
      </w:pPr>
      <w:bookmarkStart w:id="0" w:name="_Toc457052058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B167" wp14:editId="48BEB7E6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5873115" cy="542925"/>
                <wp:effectExtent l="0" t="0" r="13335" b="28575"/>
                <wp:wrapSquare wrapText="bothSides"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604A" w:rsidRPr="00F31EBF" w:rsidRDefault="007F604A" w:rsidP="007F604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dem Versuch wird eine Möglichkeit zur selbstständigen Herstellung eines Feuerlöschers vorgestellt.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CB16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31.5pt;width:462.4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" fillcolor="white [3201]" strokecolor="#4472c4 [3208]" strokeweight="1pt">
                <v:stroke dashstyle="dash"/>
                <v:shadow color="#868686"/>
                <v:textbox>
                  <w:txbxContent>
                    <w:p w:rsidR="007F604A" w:rsidRPr="00F31EBF" w:rsidRDefault="007F604A" w:rsidP="007F604A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dem Versuch wird eine Möglichkeit zur selbstständigen Herstellung eines Feuerlöschers vorgestellt.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V2 – </w:t>
      </w:r>
      <w:bookmarkStart w:id="1" w:name="_GoBack"/>
      <w:r>
        <w:t>Herstellung eines Natriumhydrogencarbonat-Zitronensäure-Löschers</w:t>
      </w:r>
      <w:bookmarkEnd w:id="0"/>
      <w:bookmarkEnd w:id="1"/>
    </w:p>
    <w:p w:rsidR="007F604A" w:rsidRDefault="007F604A" w:rsidP="007F604A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F604A" w:rsidRPr="009C5E28" w:rsidTr="009236E9">
        <w:tc>
          <w:tcPr>
            <w:tcW w:w="9322" w:type="dxa"/>
            <w:gridSpan w:val="9"/>
            <w:shd w:val="clear" w:color="auto" w:fill="4F81BD"/>
            <w:vAlign w:val="center"/>
          </w:tcPr>
          <w:p w:rsidR="007F604A" w:rsidRPr="00F31EBF" w:rsidRDefault="007F604A" w:rsidP="009236E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F604A" w:rsidRPr="009C5E28" w:rsidTr="009236E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Natriumhydrogencarbonat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7F604A" w:rsidRPr="009C5E28" w:rsidTr="009236E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Default="007F604A" w:rsidP="009236E9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Zitronensäure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H: 319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305-351-338</w:t>
            </w:r>
          </w:p>
        </w:tc>
      </w:tr>
      <w:tr w:rsidR="007F604A" w:rsidRPr="009C5E28" w:rsidTr="009236E9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7F604A" w:rsidRPr="009C5E28" w:rsidTr="009236E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  <w:rPr>
                <w:b/>
                <w:bCs/>
              </w:rPr>
            </w:pPr>
            <w:r w:rsidRPr="00336881">
              <w:rPr>
                <w:rFonts w:asciiTheme="majorHAnsi" w:hAnsiTheme="majorHAnsi"/>
                <w:b/>
                <w:noProof/>
                <w:color w:val="auto"/>
                <w:lang w:eastAsia="de-DE"/>
              </w:rPr>
              <w:drawing>
                <wp:inline distT="0" distB="0" distL="0" distR="0" wp14:anchorId="57A1D994" wp14:editId="7724F999">
                  <wp:extent cx="538061" cy="540000"/>
                  <wp:effectExtent l="0" t="0" r="0" b="0"/>
                  <wp:docPr id="13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08865EE" wp14:editId="6BBB4555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5FC0F9" wp14:editId="167AC3F0">
                  <wp:extent cx="504190" cy="50419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EBB797E" wp14:editId="7930D686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1A2C757" wp14:editId="3CC64DC4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EA22708" wp14:editId="4DC014AE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CE62895" wp14:editId="04AFC003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65EB6F" wp14:editId="1205F1F2">
                  <wp:extent cx="511175" cy="511175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604A" w:rsidRPr="009C5E28" w:rsidRDefault="007F604A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91F849E" wp14:editId="192F619D">
                  <wp:extent cx="504190" cy="50419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04A" w:rsidRDefault="007F604A" w:rsidP="007F604A">
      <w:pPr>
        <w:tabs>
          <w:tab w:val="left" w:pos="1701"/>
          <w:tab w:val="left" w:pos="1985"/>
        </w:tabs>
        <w:ind w:left="1980" w:hanging="1980"/>
      </w:pPr>
    </w:p>
    <w:p w:rsidR="007F604A" w:rsidRDefault="007F604A" w:rsidP="007F604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Spülmittel, Erlenmeyerkolben, Stopfen mit Loch, gewinkeltes Glasrohr, Kerze</w:t>
      </w:r>
    </w:p>
    <w:p w:rsidR="007F604A" w:rsidRPr="00ED07C2" w:rsidRDefault="007F604A" w:rsidP="007F604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Zitronensäure, Natriumhydrogencarbonat, Wasser</w:t>
      </w:r>
    </w:p>
    <w:p w:rsidR="007F604A" w:rsidRDefault="007F604A" w:rsidP="007F604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den Erlenmeyerkolben werden zu 300 </w:t>
      </w:r>
      <w:proofErr w:type="spellStart"/>
      <w:r>
        <w:t>mL</w:t>
      </w:r>
      <w:proofErr w:type="spellEnd"/>
      <w:r>
        <w:t xml:space="preserve"> Wasser 5 </w:t>
      </w:r>
      <w:proofErr w:type="spellStart"/>
      <w:r>
        <w:t>Spatellöffel</w:t>
      </w:r>
      <w:proofErr w:type="spellEnd"/>
      <w:r>
        <w:t xml:space="preserve"> Natriumhydrogencarbonat gegeben. Anschließend wird solange gerührt bis eine Lösung entstanden ist. Zu dieser werden 20 Tropfen Spülmittelgegeben. Im folgenden Schritt werden zwei </w:t>
      </w:r>
      <w:proofErr w:type="spellStart"/>
      <w:r>
        <w:t>Spatellöffel</w:t>
      </w:r>
      <w:proofErr w:type="spellEnd"/>
      <w:r>
        <w:t xml:space="preserve"> Zitronensäure zu dem Gemisch gegeben. Das Gefäß muss anschließend sofort mit dem Stopfen, in dem das Glasrohr befestigt wurde, verlöschen werden. Mit dem entstehenden Produkt kann eine Kerze gelöscht werden.</w:t>
      </w:r>
    </w:p>
    <w:p w:rsidR="007F604A" w:rsidRDefault="007F604A" w:rsidP="007F604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Nach Zugabe der Zitronensäure beginnt das Gemisch stark zu schäumen. Es ist dementsprechend eine Gasentwicklung zu beobachten. Der Schaum des Feuerlöschers erlischt die Kerzenflamme.</w:t>
      </w:r>
    </w:p>
    <w:p w:rsidR="007F604A" w:rsidRDefault="007F604A" w:rsidP="007F604A">
      <w:pPr>
        <w:keepNext/>
        <w:tabs>
          <w:tab w:val="left" w:pos="1701"/>
          <w:tab w:val="left" w:pos="1985"/>
        </w:tabs>
        <w:ind w:left="1980" w:hanging="1980"/>
      </w:pPr>
      <w:r>
        <w:lastRenderedPageBreak/>
        <w:t xml:space="preserve">           </w:t>
      </w:r>
      <w:r>
        <w:rPr>
          <w:noProof/>
          <w:lang w:eastAsia="de-DE"/>
        </w:rPr>
        <w:t xml:space="preserve">                                                  </w:t>
      </w:r>
      <w:r>
        <w:t xml:space="preserve">   </w:t>
      </w:r>
      <w:r>
        <w:rPr>
          <w:noProof/>
          <w:lang w:eastAsia="de-DE"/>
        </w:rPr>
        <w:drawing>
          <wp:inline distT="0" distB="0" distL="0" distR="0" wp14:anchorId="49C09110" wp14:editId="7B89E229">
            <wp:extent cx="1318037" cy="1757383"/>
            <wp:effectExtent l="0" t="0" r="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60720_17133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037" cy="175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DE"/>
        </w:rPr>
        <w:drawing>
          <wp:inline distT="0" distB="0" distL="0" distR="0" wp14:anchorId="73B62671" wp14:editId="2DEDBE74">
            <wp:extent cx="1309688" cy="1746250"/>
            <wp:effectExtent l="0" t="0" r="5080" b="6350"/>
            <wp:docPr id="3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14" cy="176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4A" w:rsidRDefault="007F604A" w:rsidP="007F604A">
      <w:pPr>
        <w:pStyle w:val="Beschriftung"/>
        <w:jc w:val="center"/>
      </w:pPr>
      <w:r>
        <w:t xml:space="preserve">Abb. 2 – </w:t>
      </w:r>
      <w:r>
        <w:rPr>
          <w:noProof/>
        </w:rPr>
        <w:t>Löschvorgang der Kerzenflamme durch „Lösch“schaum (links), Aufbau des Feuerlöschers (rechts).</w:t>
      </w:r>
    </w:p>
    <w:p w:rsidR="007F604A" w:rsidRDefault="007F604A" w:rsidP="007F604A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Die Zitronensäure ist eine stärkere Säure als das Hydrogencarbonat und gibt deshalb ihr Proton ab. Eins der Produkte bei dieser Reaktion ist CO</w:t>
      </w:r>
      <w:r>
        <w:rPr>
          <w:vertAlign w:val="subscript"/>
        </w:rPr>
        <w:t>2</w:t>
      </w:r>
      <w:r>
        <w:t xml:space="preserve"> anhand dessen Entstehung die Gasentwicklung zu erklären ist. Es läuft folgende Reaktion ab:</w:t>
      </w:r>
    </w:p>
    <w:p w:rsidR="007F604A" w:rsidRPr="00BD47CA" w:rsidRDefault="007F604A" w:rsidP="007F604A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NaHCO</m:t>
              </m:r>
            </m:e>
            <m:sub>
              <m:r>
                <w:rPr>
                  <w:rFonts w:ascii="Cambria Math" w:eastAsiaTheme="minorEastAsia" w:hAnsi="Cambria Math"/>
                </w:rPr>
                <m:t>3(s)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8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7(s)</m:t>
              </m:r>
            </m:sub>
          </m:sSub>
          <m: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NaC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7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7(s)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(l)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CO</m:t>
              </m:r>
            </m:e>
            <m:sub>
              <m:r>
                <w:rPr>
                  <w:rFonts w:ascii="Cambria Math" w:eastAsiaTheme="minorEastAsia" w:hAnsi="Cambria Math"/>
                </w:rPr>
                <m:t>2(g)</m:t>
              </m:r>
            </m:sub>
          </m:sSub>
        </m:oMath>
      </m:oMathPara>
    </w:p>
    <w:p w:rsidR="007F604A" w:rsidRPr="007F604A" w:rsidRDefault="007F604A" w:rsidP="007F604A">
      <w:pPr>
        <w:spacing w:line="276" w:lineRule="auto"/>
        <w:jc w:val="left"/>
      </w:pPr>
      <w:r>
        <w:t>Entsorgung:</w:t>
      </w:r>
      <w:r>
        <w:tab/>
      </w:r>
      <w:r w:rsidRPr="007F604A">
        <w:t xml:space="preserve">           </w:t>
      </w:r>
      <w:r w:rsidRPr="007F604A">
        <w:tab/>
        <w:t xml:space="preserve">Die Entsorgung erfolgt über den Abfluss. </w:t>
      </w:r>
    </w:p>
    <w:p w:rsidR="007F604A" w:rsidRPr="007F604A" w:rsidRDefault="007F604A" w:rsidP="007F604A">
      <w:pPr>
        <w:spacing w:line="276" w:lineRule="auto"/>
        <w:ind w:left="2124" w:hanging="2124"/>
        <w:jc w:val="left"/>
        <w:rPr>
          <w:rFonts w:eastAsiaTheme="majorEastAsia" w:cstheme="majorBidi"/>
          <w:b/>
          <w:bCs/>
          <w:sz w:val="28"/>
          <w:szCs w:val="28"/>
        </w:rPr>
      </w:pPr>
      <w:r w:rsidRPr="007F604A">
        <w:t>Literatur:</w:t>
      </w:r>
      <w:r w:rsidRPr="007F604A">
        <w:tab/>
        <w:t xml:space="preserve">[2] H. </w:t>
      </w:r>
      <w:proofErr w:type="spellStart"/>
      <w:r w:rsidRPr="007F604A">
        <w:t>Hicke</w:t>
      </w:r>
      <w:proofErr w:type="spellEnd"/>
      <w:r w:rsidRPr="007F604A">
        <w:rPr>
          <w:color w:val="auto"/>
        </w:rPr>
        <w:t xml:space="preserve">, </w:t>
      </w:r>
      <w:hyperlink r:id="rId16" w:history="1">
        <w:r w:rsidRPr="007F604A">
          <w:rPr>
            <w:rStyle w:val="Hyperlink"/>
            <w:color w:val="auto"/>
          </w:rPr>
          <w:t>http://www.unterrichtsmaterial-schule.de/chemievorschau4.shtml</w:t>
        </w:r>
      </w:hyperlink>
      <w:r w:rsidRPr="007F604A">
        <w:t>, (zuletzt abgerufen am 23.07.2016)</w:t>
      </w:r>
    </w:p>
    <w:p w:rsidR="007F604A" w:rsidRDefault="007F604A" w:rsidP="007F604A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4B0364B" wp14:editId="471FA008">
                <wp:extent cx="5760720" cy="804097"/>
                <wp:effectExtent l="0" t="0" r="11430" b="15240"/>
                <wp:docPr id="3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0409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604A" w:rsidRPr="00F31EBF" w:rsidRDefault="007F604A" w:rsidP="007F604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Im Verlauf dieser Unterrichtseinheit sollen drei verschiedene Feuerlöscher selbst gebaut werden. Im Anschluss daran sollen die SuS anhand ihres neuerlangten Wissens einschätzen können bei welchem Brennmaterial welcher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Feuerlöschertyp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verwendet werden muss.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B0364B" id="Text Box 131" o:spid="_x0000_s1027" type="#_x0000_t202" style="width:453.6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" fillcolor="white [3201]" strokecolor="#ed7d31 [3205]" strokeweight="1pt">
                <v:stroke dashstyle="dash"/>
                <v:shadow color="#868686"/>
                <v:textbox>
                  <w:txbxContent>
                    <w:p w:rsidR="007F604A" w:rsidRPr="00F31EBF" w:rsidRDefault="007F604A" w:rsidP="007F604A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Im Verlauf dieser Unterrichtseinheit sollen drei verschiedene Feuerlöscher selbst gebaut werden. Im Anschluss daran sollen die SuS anhand ihres neuerlangten Wissens einschätzen können bei welchem Brennmaterial welcher </w:t>
                      </w:r>
                      <w:proofErr w:type="spellStart"/>
                      <w:r>
                        <w:rPr>
                          <w:color w:val="auto"/>
                        </w:rPr>
                        <w:t>Feuerlöschertyp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verwendet werden muss.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604A" w:rsidRDefault="007F604A" w:rsidP="007F604A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EB619B" w:rsidRDefault="007F604A"/>
    <w:sectPr w:rsidR="00EB61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4A"/>
    <w:rsid w:val="000C761C"/>
    <w:rsid w:val="00125E17"/>
    <w:rsid w:val="00176474"/>
    <w:rsid w:val="0034208B"/>
    <w:rsid w:val="003E3AD9"/>
    <w:rsid w:val="00641C7C"/>
    <w:rsid w:val="006B6773"/>
    <w:rsid w:val="006E23EA"/>
    <w:rsid w:val="007633FF"/>
    <w:rsid w:val="007F604A"/>
    <w:rsid w:val="00855922"/>
    <w:rsid w:val="00990B4C"/>
    <w:rsid w:val="00A22302"/>
    <w:rsid w:val="00B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C4EE-3F6E-4496-90C2-C2FAFF37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7F604A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604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604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604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604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60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60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60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60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60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604A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604A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604A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60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604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604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6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60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6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F604A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F6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terrichtsmaterial-schule.de/chemievorschau4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 Röver</dc:creator>
  <cp:keywords/>
  <dc:description/>
  <cp:lastModifiedBy>Ann-Kathrin Röver</cp:lastModifiedBy>
  <cp:revision>1</cp:revision>
  <dcterms:created xsi:type="dcterms:W3CDTF">2016-08-08T17:40:00Z</dcterms:created>
  <dcterms:modified xsi:type="dcterms:W3CDTF">2016-08-08T17:42:00Z</dcterms:modified>
</cp:coreProperties>
</file>