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453" w:rsidRPr="00CC307A" w:rsidRDefault="00163453" w:rsidP="00163453">
      <w:pPr>
        <w:pStyle w:val="berschrift2"/>
        <w:numPr>
          <w:ilvl w:val="0"/>
          <w:numId w:val="0"/>
        </w:numPr>
        <w:rPr>
          <w:color w:val="auto"/>
        </w:rPr>
      </w:pPr>
      <w:bookmarkStart w:id="0" w:name="_Toc457156725"/>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448310</wp:posOffset>
                </wp:positionV>
                <wp:extent cx="5873115" cy="1063625"/>
                <wp:effectExtent l="13335" t="12700" r="9525" b="9525"/>
                <wp:wrapSquare wrapText="bothSides"/>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636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63453" w:rsidRPr="00F31EBF" w:rsidRDefault="00163453" w:rsidP="00163453">
                            <w:pPr>
                              <w:rPr>
                                <w:color w:val="auto"/>
                              </w:rPr>
                            </w:pPr>
                            <w:r>
                              <w:rPr>
                                <w:color w:val="auto"/>
                              </w:rPr>
                              <w:t>Dieser Versuch dient dem Thema Energie als Wunderexperiment, da energetische Entladungen durch unregelmäßige Lichtblitze sichtbar werden. Die Schülerinnen und Schüler sollten für diesen Versuch Kenntnis über Energieformen wie Wärme-, Bewegungs- und elektrische Energie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4" o:spid="_x0000_s1026" type="#_x0000_t202" style="position:absolute;left:0;text-align:left;margin-left:-4.55pt;margin-top:35.3pt;width:462.45pt;height:8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Es7wIAACwGAAAOAAAAZHJzL2Uyb0RvYy54bWysVNuO2jAQfa/Uf7D8ziaBcNlowwpYqCpt&#10;L9Ju1WdjO8SqY6e2IdlW/feObaC0+9CqWpAijy9n5szMmZvbvpHowI0VWpU4u0ox4opqJtSuxJ8e&#10;N4MZRtYRxYjUipf4iVt8O3/96qZrCz7UtZaMGwQgyhZdW+LaubZIEktr3hB7pVuu4LDSpiEOTLNL&#10;mCEdoDcyGabpJOm0Ya3RlFsLu3fxEM8DflVx6j5UleUOyRJDbC58Tfhu/TeZ35BiZ0hbC3oMg/xH&#10;FA0RCpyeoe6II2hvxDOoRlCjra7cFdVNoqtKUB44AJss/YPNQ01aHrhAcmx7TpN9OVj6/vDRIMFK&#10;PMoxUqSBGj3y3lVcMgRbkJ+utQVce2jhouuXuoc6B662vdf0i0VKr2qidnxhjO5qThjEl/mXycXT&#10;iGM9yLZ7pxn4IXunA1BfmcYnD9KBAB3q9HSuDcSCKGyOZ9NRlo0xonCWpZPRZDgOPkhxet4a695w&#10;3SC/KLGB4gd4cri3zodDitMV781qKdhGSBkM33B8JQ06EGgV6SJFuW8g1riXpf4XOwb2oa/iftgC&#10;7NCzHiJ4+g1dKtRB1MMpvP+ba0IpV24c7r2Qe8/6jtg6xstgFVk0woH4pGhKPLsg50u4VixIwxEh&#10;4xoYSuWD50FWMaVg9Q6WYR8qFVr++2IzTqf5aDaYTsejQT5ap4PlbLMaLFbZZDJdL1fLdfbDE8zy&#10;ohaMcbUOmPakwCz/tw4/zoKonbMGzwH6qPQeOD7UrENM+K4Yja+HGQYDhoCvhy8pInIH04s6g5HR&#10;7rNwdZCeb0KPYc1ue26N2cT/j613Rg81v3CcPOMWb/SQKsjkKWtBIV4UUR6u3/ZHxW01ewKtQDhB&#10;EDBiYVFr8w2jDsZVie3XPTEcI/lWgd6uszz38y0Y+Xg6BMNcnmwvT4iiAFViB9TDcuXiTNy3Ruxq&#10;8BTbX+kFaLQSQT1ezDEqoOANGEmBzHF8+pl3aYdbv4b8/CcAAAD//wMAUEsDBBQABgAIAAAAIQAb&#10;0WXh4AAAAAkBAAAPAAAAZHJzL2Rvd25yZXYueG1sTI9BT4NAFITvJv6HzTPx1u5S05ZSlsY08aDV&#10;g6j3V9gCKfuWsFvA/nqfJz1OZjLzTbqbbCsG0/vGkYZorkAYKlzZUKXh8+NpFoPwAanE1pHR8G08&#10;7LLbmxST0o30boY8VIJLyCeooQ6hS6T0RW0s+rnrDLF3cr3FwLKvZNnjyOW2lQulVtJiQ7xQY2f2&#10;tSnO+cVq2L/E19EuEQ/D16nLX58PV/W21vr+bnrcgghmCn9h+MVndMiY6eguVHrRaphtIk5qWKsV&#10;CPY30ZKvHDUsHuIIZJbK/w+yHwAAAP//AwBQSwECLQAUAAYACAAAACEAtoM4kv4AAADhAQAAEwAA&#10;AAAAAAAAAAAAAAAAAAAAW0NvbnRlbnRfVHlwZXNdLnhtbFBLAQItABQABgAIAAAAIQA4/SH/1gAA&#10;AJQBAAALAAAAAAAAAAAAAAAAAC8BAABfcmVscy8ucmVsc1BLAQItABQABgAIAAAAIQAJNqEs7wIA&#10;ACwGAAAOAAAAAAAAAAAAAAAAAC4CAABkcnMvZTJvRG9jLnhtbFBLAQItABQABgAIAAAAIQAb0WXh&#10;4AAAAAkBAAAPAAAAAAAAAAAAAAAAAEkFAABkcnMvZG93bnJldi54bWxQSwUGAAAAAAQABADzAAAA&#10;VgYAAAAA&#10;" fillcolor="white [3201]" strokecolor="#4472c4 [3208]" strokeweight="1pt">
                <v:stroke dashstyle="dash"/>
                <v:shadow color="#868686"/>
                <v:textbox>
                  <w:txbxContent>
                    <w:p w:rsidR="00163453" w:rsidRPr="00F31EBF" w:rsidRDefault="00163453" w:rsidP="00163453">
                      <w:pPr>
                        <w:rPr>
                          <w:color w:val="auto"/>
                        </w:rPr>
                      </w:pPr>
                      <w:r>
                        <w:rPr>
                          <w:color w:val="auto"/>
                        </w:rPr>
                        <w:t>Dieser Versuch dient dem Thema Energie als Wunderexperiment, da energetische Entladungen durch unregelmäßige Lichtblitze sichtbar werden. Die Schülerinnen und Schüler sollten für diesen Versuch Kenntnis über Energieformen wie Wärme-, Bewegungs- und elektrische Energie haben.</w:t>
                      </w:r>
                    </w:p>
                  </w:txbxContent>
                </v:textbox>
                <w10:wrap type="square"/>
              </v:shape>
            </w:pict>
          </mc:Fallback>
        </mc:AlternateContent>
      </w:r>
      <w:r w:rsidRPr="00CC307A">
        <w:rPr>
          <w:color w:val="auto"/>
        </w:rPr>
        <w:t>V1 –</w:t>
      </w:r>
      <w:bookmarkStart w:id="1" w:name="_GoBack"/>
      <w:bookmarkEnd w:id="1"/>
      <w:r w:rsidRPr="00CC307A">
        <w:rPr>
          <w:color w:val="auto"/>
        </w:rPr>
        <w:t xml:space="preserve"> </w:t>
      </w:r>
      <w:r>
        <w:rPr>
          <w:color w:val="auto"/>
        </w:rPr>
        <w:t>Blitze unter Wasser</w:t>
      </w:r>
      <w:bookmarkEnd w:id="0"/>
    </w:p>
    <w:p w:rsidR="00163453" w:rsidRDefault="00163453" w:rsidP="00163453">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63453" w:rsidRPr="009C5E28" w:rsidTr="005C5AEF">
        <w:tc>
          <w:tcPr>
            <w:tcW w:w="9322" w:type="dxa"/>
            <w:gridSpan w:val="9"/>
            <w:shd w:val="clear" w:color="auto" w:fill="4F81BD"/>
            <w:vAlign w:val="center"/>
          </w:tcPr>
          <w:p w:rsidR="00163453" w:rsidRPr="00F31EBF" w:rsidRDefault="00163453" w:rsidP="005C5AEF">
            <w:pPr>
              <w:spacing w:after="0"/>
              <w:jc w:val="center"/>
              <w:rPr>
                <w:b/>
                <w:bCs/>
                <w:color w:val="FFFFFF" w:themeColor="background1"/>
              </w:rPr>
            </w:pPr>
            <w:bookmarkStart w:id="2" w:name="_Toc425776595"/>
            <w:bookmarkStart w:id="3" w:name="_Toc456688591"/>
            <w:bookmarkStart w:id="4" w:name="_Toc456688607"/>
            <w:bookmarkEnd w:id="2"/>
            <w:bookmarkEnd w:id="3"/>
            <w:bookmarkEnd w:id="4"/>
            <w:r w:rsidRPr="00F31EBF">
              <w:rPr>
                <w:b/>
                <w:bCs/>
                <w:color w:val="FFFFFF" w:themeColor="background1"/>
              </w:rPr>
              <w:t>Gefahrenstoffe</w:t>
            </w:r>
          </w:p>
        </w:tc>
      </w:tr>
      <w:tr w:rsidR="00163453" w:rsidRPr="009C5E28" w:rsidTr="005C5AEF">
        <w:trPr>
          <w:trHeight w:val="437"/>
        </w:trPr>
        <w:tc>
          <w:tcPr>
            <w:tcW w:w="3027" w:type="dxa"/>
            <w:gridSpan w:val="3"/>
            <w:shd w:val="clear" w:color="auto" w:fill="auto"/>
            <w:vAlign w:val="center"/>
          </w:tcPr>
          <w:p w:rsidR="00163453" w:rsidRPr="009C5E28" w:rsidRDefault="00163453" w:rsidP="005C5AEF">
            <w:pPr>
              <w:spacing w:after="0" w:line="276" w:lineRule="auto"/>
              <w:jc w:val="center"/>
              <w:rPr>
                <w:b/>
                <w:bCs/>
              </w:rPr>
            </w:pPr>
            <w:r>
              <w:rPr>
                <w:sz w:val="20"/>
              </w:rPr>
              <w:t>Schwefelsäure (w = 96 %)</w:t>
            </w:r>
          </w:p>
        </w:tc>
        <w:tc>
          <w:tcPr>
            <w:tcW w:w="3177" w:type="dxa"/>
            <w:gridSpan w:val="3"/>
            <w:shd w:val="clear" w:color="auto" w:fill="auto"/>
            <w:vAlign w:val="center"/>
          </w:tcPr>
          <w:p w:rsidR="00163453" w:rsidRPr="009C5E28" w:rsidRDefault="00163453" w:rsidP="005C5AEF">
            <w:pPr>
              <w:spacing w:after="0"/>
              <w:jc w:val="center"/>
            </w:pPr>
            <w:r w:rsidRPr="009C5E28">
              <w:rPr>
                <w:sz w:val="20"/>
              </w:rPr>
              <w:t xml:space="preserve">H: </w:t>
            </w:r>
            <w:hyperlink r:id="rId7" w:anchor="H-S.C3.A4tze" w:tooltip="H- und P-Sätze" w:history="1">
              <w:r w:rsidRPr="009C5E28">
                <w:rPr>
                  <w:rStyle w:val="Hyperlink"/>
                  <w:color w:val="auto"/>
                  <w:sz w:val="20"/>
                </w:rPr>
                <w:t>314</w:t>
              </w:r>
            </w:hyperlink>
            <w:r>
              <w:rPr>
                <w:rStyle w:val="Hyperlink"/>
                <w:color w:val="auto"/>
                <w:sz w:val="20"/>
              </w:rPr>
              <w:t>-290</w:t>
            </w:r>
          </w:p>
        </w:tc>
        <w:tc>
          <w:tcPr>
            <w:tcW w:w="3118" w:type="dxa"/>
            <w:gridSpan w:val="3"/>
            <w:shd w:val="clear" w:color="auto" w:fill="auto"/>
            <w:vAlign w:val="center"/>
          </w:tcPr>
          <w:p w:rsidR="00163453" w:rsidRPr="009C5E28" w:rsidRDefault="00163453" w:rsidP="005C5AEF">
            <w:pPr>
              <w:spacing w:after="0"/>
              <w:jc w:val="center"/>
            </w:pPr>
            <w:r w:rsidRPr="009C5E28">
              <w:rPr>
                <w:sz w:val="20"/>
              </w:rPr>
              <w:t xml:space="preserve">P: </w:t>
            </w:r>
            <w:hyperlink r:id="rId8" w:anchor="P-S.C3.A4tze" w:tooltip="H- und P-Sätze" w:history="1">
              <w:r w:rsidRPr="009C5E28">
                <w:rPr>
                  <w:rStyle w:val="Hyperlink"/>
                  <w:color w:val="auto"/>
                  <w:sz w:val="20"/>
                </w:rPr>
                <w:t>280</w:t>
              </w:r>
            </w:hyperlink>
            <w:r>
              <w:rPr>
                <w:sz w:val="20"/>
              </w:rPr>
              <w:t>-</w:t>
            </w:r>
            <w:hyperlink r:id="rId9" w:anchor="P-S.C3.A4tze" w:tooltip="H- und P-Sätze" w:history="1">
              <w:r w:rsidRPr="009C5E28">
                <w:rPr>
                  <w:rStyle w:val="Hyperlink"/>
                  <w:color w:val="auto"/>
                  <w:sz w:val="20"/>
                </w:rPr>
                <w:t>301+330+331</w:t>
              </w:r>
            </w:hyperlink>
            <w:r>
              <w:rPr>
                <w:rStyle w:val="Hyperlink"/>
                <w:color w:val="auto"/>
                <w:sz w:val="20"/>
              </w:rPr>
              <w:t>-</w:t>
            </w:r>
            <w:r>
              <w:rPr>
                <w:sz w:val="20"/>
              </w:rPr>
              <w:t>305+351+338-309+310</w:t>
            </w:r>
          </w:p>
        </w:tc>
      </w:tr>
      <w:tr w:rsidR="00163453" w:rsidRPr="009C5E28" w:rsidTr="005C5AEF">
        <w:trPr>
          <w:trHeight w:val="434"/>
        </w:trPr>
        <w:tc>
          <w:tcPr>
            <w:tcW w:w="3027" w:type="dxa"/>
            <w:gridSpan w:val="3"/>
            <w:shd w:val="clear" w:color="auto" w:fill="auto"/>
            <w:vAlign w:val="center"/>
          </w:tcPr>
          <w:p w:rsidR="00163453" w:rsidRPr="009C5E28" w:rsidRDefault="00163453" w:rsidP="005C5AEF">
            <w:pPr>
              <w:spacing w:after="0" w:line="276" w:lineRule="auto"/>
              <w:jc w:val="center"/>
              <w:rPr>
                <w:bCs/>
                <w:sz w:val="20"/>
              </w:rPr>
            </w:pPr>
            <w:r>
              <w:rPr>
                <w:color w:val="auto"/>
                <w:sz w:val="20"/>
                <w:szCs w:val="20"/>
              </w:rPr>
              <w:t>Ethanol (ca. 96%ig)</w:t>
            </w:r>
          </w:p>
        </w:tc>
        <w:tc>
          <w:tcPr>
            <w:tcW w:w="3177" w:type="dxa"/>
            <w:gridSpan w:val="3"/>
            <w:shd w:val="clear" w:color="auto" w:fill="auto"/>
            <w:vAlign w:val="center"/>
          </w:tcPr>
          <w:p w:rsidR="00163453" w:rsidRPr="009C5E28" w:rsidRDefault="00163453" w:rsidP="005C5AEF">
            <w:pPr>
              <w:pStyle w:val="Beschriftung"/>
              <w:spacing w:after="0"/>
              <w:jc w:val="center"/>
              <w:rPr>
                <w:sz w:val="20"/>
              </w:rPr>
            </w:pPr>
            <w:r w:rsidRPr="009C5E28">
              <w:rPr>
                <w:sz w:val="20"/>
              </w:rPr>
              <w:t xml:space="preserve">H: </w:t>
            </w:r>
            <w:r w:rsidRPr="00096E5D">
              <w:rPr>
                <w:sz w:val="20"/>
              </w:rPr>
              <w:t>225</w:t>
            </w:r>
          </w:p>
        </w:tc>
        <w:tc>
          <w:tcPr>
            <w:tcW w:w="3118" w:type="dxa"/>
            <w:gridSpan w:val="3"/>
            <w:shd w:val="clear" w:color="auto" w:fill="auto"/>
            <w:vAlign w:val="center"/>
          </w:tcPr>
          <w:p w:rsidR="00163453" w:rsidRPr="009C5E28" w:rsidRDefault="00163453" w:rsidP="005C5AEF">
            <w:pPr>
              <w:pStyle w:val="Beschriftung"/>
              <w:spacing w:after="0"/>
              <w:jc w:val="center"/>
              <w:rPr>
                <w:sz w:val="20"/>
              </w:rPr>
            </w:pPr>
            <w:r w:rsidRPr="009C5E28">
              <w:rPr>
                <w:sz w:val="20"/>
              </w:rPr>
              <w:t xml:space="preserve">P: </w:t>
            </w:r>
            <w:r w:rsidRPr="00096E5D">
              <w:rPr>
                <w:sz w:val="20"/>
              </w:rPr>
              <w:t>210</w:t>
            </w:r>
          </w:p>
        </w:tc>
      </w:tr>
      <w:tr w:rsidR="00163453" w:rsidRPr="009C5E28" w:rsidTr="005C5AEF">
        <w:trPr>
          <w:trHeight w:val="434"/>
        </w:trPr>
        <w:tc>
          <w:tcPr>
            <w:tcW w:w="3027" w:type="dxa"/>
            <w:gridSpan w:val="3"/>
            <w:shd w:val="clear" w:color="auto" w:fill="auto"/>
            <w:vAlign w:val="center"/>
          </w:tcPr>
          <w:p w:rsidR="00163453" w:rsidRDefault="00163453" w:rsidP="005C5AEF">
            <w:pPr>
              <w:spacing w:after="0" w:line="276" w:lineRule="auto"/>
              <w:jc w:val="center"/>
              <w:rPr>
                <w:color w:val="auto"/>
                <w:sz w:val="20"/>
                <w:szCs w:val="20"/>
              </w:rPr>
            </w:pPr>
            <w:r>
              <w:rPr>
                <w:color w:val="auto"/>
                <w:sz w:val="20"/>
                <w:szCs w:val="20"/>
              </w:rPr>
              <w:t>Kaliumpermanganat</w:t>
            </w:r>
          </w:p>
        </w:tc>
        <w:tc>
          <w:tcPr>
            <w:tcW w:w="3177" w:type="dxa"/>
            <w:gridSpan w:val="3"/>
            <w:shd w:val="clear" w:color="auto" w:fill="auto"/>
            <w:vAlign w:val="center"/>
          </w:tcPr>
          <w:p w:rsidR="00163453" w:rsidRPr="009C5E28" w:rsidRDefault="00163453" w:rsidP="005C5AEF">
            <w:pPr>
              <w:pStyle w:val="Beschriftung"/>
              <w:spacing w:after="0"/>
              <w:jc w:val="center"/>
              <w:rPr>
                <w:sz w:val="20"/>
              </w:rPr>
            </w:pPr>
            <w:r>
              <w:rPr>
                <w:sz w:val="20"/>
              </w:rPr>
              <w:t>H: 272-302-314-410</w:t>
            </w:r>
          </w:p>
        </w:tc>
        <w:tc>
          <w:tcPr>
            <w:tcW w:w="3118" w:type="dxa"/>
            <w:gridSpan w:val="3"/>
            <w:shd w:val="clear" w:color="auto" w:fill="auto"/>
            <w:vAlign w:val="center"/>
          </w:tcPr>
          <w:p w:rsidR="00163453" w:rsidRPr="009C5E28" w:rsidRDefault="00163453" w:rsidP="005C5AEF">
            <w:pPr>
              <w:pStyle w:val="Beschriftung"/>
              <w:spacing w:after="0"/>
              <w:jc w:val="center"/>
              <w:rPr>
                <w:sz w:val="20"/>
              </w:rPr>
            </w:pPr>
            <w:r>
              <w:rPr>
                <w:sz w:val="20"/>
              </w:rPr>
              <w:t>P: 220-273-280-305+351+338-310-501.1</w:t>
            </w:r>
          </w:p>
        </w:tc>
      </w:tr>
      <w:tr w:rsidR="00163453" w:rsidRPr="009C5E28" w:rsidTr="005C5AEF">
        <w:tc>
          <w:tcPr>
            <w:tcW w:w="1009" w:type="dxa"/>
            <w:shd w:val="clear" w:color="auto" w:fill="auto"/>
            <w:vAlign w:val="center"/>
          </w:tcPr>
          <w:p w:rsidR="00163453" w:rsidRPr="009C5E28" w:rsidRDefault="00163453" w:rsidP="005C5AEF">
            <w:pPr>
              <w:spacing w:after="0"/>
              <w:jc w:val="center"/>
              <w:rPr>
                <w:b/>
                <w:bCs/>
              </w:rPr>
            </w:pPr>
            <w:r>
              <w:rPr>
                <w:b/>
                <w:noProof/>
                <w:lang w:eastAsia="de-DE"/>
              </w:rPr>
              <w:drawing>
                <wp:inline distT="0" distB="0" distL="0" distR="0" wp14:anchorId="13F30579" wp14:editId="6D25B138">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163453" w:rsidRPr="009C5E28" w:rsidRDefault="00163453" w:rsidP="005C5AEF">
            <w:pPr>
              <w:spacing w:after="0"/>
              <w:jc w:val="center"/>
            </w:pPr>
            <w:r>
              <w:rPr>
                <w:noProof/>
                <w:lang w:eastAsia="de-DE"/>
              </w:rPr>
              <w:drawing>
                <wp:inline distT="0" distB="0" distL="0" distR="0">
                  <wp:extent cx="508000" cy="508000"/>
                  <wp:effectExtent l="0" t="0" r="6350" b="6350"/>
                  <wp:docPr id="31" name="Grafik 31"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randförder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tc>
        <w:tc>
          <w:tcPr>
            <w:tcW w:w="1009" w:type="dxa"/>
            <w:shd w:val="clear" w:color="auto" w:fill="auto"/>
            <w:vAlign w:val="center"/>
          </w:tcPr>
          <w:p w:rsidR="00163453" w:rsidRPr="009C5E28" w:rsidRDefault="00163453" w:rsidP="005C5AEF">
            <w:pPr>
              <w:spacing w:after="0"/>
              <w:jc w:val="center"/>
            </w:pPr>
            <w:r>
              <w:rPr>
                <w:noProof/>
                <w:lang w:eastAsia="de-DE"/>
              </w:rPr>
              <w:drawing>
                <wp:inline distT="0" distB="0" distL="0" distR="0">
                  <wp:extent cx="508000" cy="508000"/>
                  <wp:effectExtent l="0" t="0" r="6350" b="6350"/>
                  <wp:docPr id="25" name="Grafik 25"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rennb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tc>
        <w:tc>
          <w:tcPr>
            <w:tcW w:w="1009" w:type="dxa"/>
            <w:shd w:val="clear" w:color="auto" w:fill="auto"/>
            <w:vAlign w:val="center"/>
          </w:tcPr>
          <w:p w:rsidR="00163453" w:rsidRPr="009C5E28" w:rsidRDefault="00163453" w:rsidP="005C5AEF">
            <w:pPr>
              <w:spacing w:after="0"/>
              <w:jc w:val="center"/>
            </w:pPr>
            <w:r>
              <w:rPr>
                <w:noProof/>
                <w:lang w:eastAsia="de-DE"/>
              </w:rPr>
              <w:drawing>
                <wp:inline distT="0" distB="0" distL="0" distR="0" wp14:anchorId="5A0CAF5F" wp14:editId="33B0BD6F">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163453" w:rsidRPr="009C5E28" w:rsidRDefault="00163453" w:rsidP="005C5AEF">
            <w:pPr>
              <w:spacing w:after="0"/>
              <w:jc w:val="center"/>
            </w:pPr>
            <w:r>
              <w:rPr>
                <w:noProof/>
                <w:lang w:eastAsia="de-DE"/>
              </w:rPr>
              <w:drawing>
                <wp:inline distT="0" distB="0" distL="0" distR="0" wp14:anchorId="1E6010B6" wp14:editId="666DD13C">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163453" w:rsidRPr="009C5E28" w:rsidRDefault="00163453" w:rsidP="005C5AEF">
            <w:pPr>
              <w:spacing w:after="0"/>
              <w:jc w:val="center"/>
            </w:pPr>
            <w:r>
              <w:rPr>
                <w:noProof/>
                <w:lang w:eastAsia="de-DE"/>
              </w:rPr>
              <w:drawing>
                <wp:inline distT="0" distB="0" distL="0" distR="0" wp14:anchorId="1E00D0B4" wp14:editId="20533E11">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163453" w:rsidRPr="009C5E28" w:rsidRDefault="00163453" w:rsidP="005C5AEF">
            <w:pPr>
              <w:spacing w:after="0"/>
              <w:jc w:val="center"/>
            </w:pPr>
            <w:r>
              <w:rPr>
                <w:noProof/>
                <w:lang w:eastAsia="de-DE"/>
              </w:rPr>
              <w:drawing>
                <wp:inline distT="0" distB="0" distL="0" distR="0" wp14:anchorId="3480E041" wp14:editId="4F27DB6E">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163453" w:rsidRPr="009C5E28" w:rsidRDefault="00163453" w:rsidP="005C5AEF">
            <w:pPr>
              <w:spacing w:after="0"/>
              <w:jc w:val="center"/>
            </w:pPr>
            <w:r>
              <w:rPr>
                <w:noProof/>
                <w:lang w:eastAsia="de-DE"/>
              </w:rPr>
              <w:drawing>
                <wp:inline distT="0" distB="0" distL="0" distR="0" wp14:anchorId="4719DF2E" wp14:editId="4693C7D8">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163453" w:rsidRPr="009C5E28" w:rsidRDefault="00163453" w:rsidP="005C5AEF">
            <w:pPr>
              <w:spacing w:after="0"/>
              <w:jc w:val="center"/>
            </w:pPr>
            <w:r>
              <w:rPr>
                <w:noProof/>
                <w:lang w:eastAsia="de-DE"/>
              </w:rPr>
              <w:drawing>
                <wp:inline distT="0" distB="0" distL="0" distR="0">
                  <wp:extent cx="584200" cy="584200"/>
                  <wp:effectExtent l="0" t="0" r="6350" b="6350"/>
                  <wp:docPr id="23" name="Grafik 23"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mweltgefah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r>
    </w:tbl>
    <w:p w:rsidR="00163453" w:rsidRDefault="00163453" w:rsidP="00163453">
      <w:pPr>
        <w:tabs>
          <w:tab w:val="left" w:pos="1701"/>
          <w:tab w:val="left" w:pos="1985"/>
        </w:tabs>
        <w:ind w:left="1980" w:hanging="1980"/>
      </w:pPr>
    </w:p>
    <w:p w:rsidR="00163453" w:rsidRDefault="00163453" w:rsidP="00163453">
      <w:pPr>
        <w:tabs>
          <w:tab w:val="left" w:pos="1701"/>
          <w:tab w:val="left" w:pos="1985"/>
        </w:tabs>
        <w:ind w:left="1980" w:hanging="1980"/>
      </w:pPr>
      <w:r>
        <w:t xml:space="preserve">Materialien: </w:t>
      </w:r>
      <w:r>
        <w:tab/>
      </w:r>
      <w:r>
        <w:tab/>
        <w:t>Petrischale aus Glas, Vollpipette (25 mL), Peleusball, Spatel, Becherglas (1 L), Tiegelzange</w:t>
      </w:r>
    </w:p>
    <w:p w:rsidR="00163453" w:rsidRPr="00ED07C2" w:rsidRDefault="00163453" w:rsidP="00163453">
      <w:pPr>
        <w:tabs>
          <w:tab w:val="left" w:pos="1701"/>
          <w:tab w:val="left" w:pos="1985"/>
        </w:tabs>
        <w:ind w:left="1980" w:hanging="1980"/>
      </w:pPr>
      <w:r>
        <w:t>Chemikalien:</w:t>
      </w:r>
      <w:r>
        <w:tab/>
      </w:r>
      <w:r>
        <w:tab/>
        <w:t>Ethanol, konzentrierte Schwefelsäure, Kaliumpermanganat, Wasser</w:t>
      </w:r>
    </w:p>
    <w:p w:rsidR="00163453" w:rsidRDefault="00163453" w:rsidP="00163453">
      <w:pPr>
        <w:tabs>
          <w:tab w:val="left" w:pos="1701"/>
          <w:tab w:val="left" w:pos="1985"/>
        </w:tabs>
        <w:ind w:left="1980" w:hanging="1980"/>
      </w:pPr>
      <w:r>
        <w:t xml:space="preserve">Durchführung: </w:t>
      </w:r>
      <w:r>
        <w:tab/>
      </w:r>
      <w:r>
        <w:tab/>
        <w:t>In die Petrischale werden 25 mL Ethanol gegeben. Dieses wird anschließend mit 25 mL konzentrierter Schwefelsäure unterschichtet. Das Becherglas wird mit etwa 800 mL Wasser gefüllt. Zum Starten der Reaktion werden 4-5 Kristalle Kaliumpermanganat in die Petrischale gegeben. Die Reaktion verläuft spontan über einen Zeitraum von etwa 15 Minuten, kann aber jederzeit durch Umfüllen in das bereitgestellte Wasser abgebrochen werden. Dieses dient ebenfalls als Löschwasser, sollte sich das Ethanol durch die Reaktion entzünden.</w:t>
      </w:r>
    </w:p>
    <w:p w:rsidR="00163453" w:rsidRDefault="00163453" w:rsidP="00163453">
      <w:pPr>
        <w:tabs>
          <w:tab w:val="left" w:pos="1701"/>
          <w:tab w:val="left" w:pos="1985"/>
        </w:tabs>
        <w:ind w:left="1980" w:hanging="1980"/>
      </w:pPr>
      <w:r>
        <w:t>Beobachtung:</w:t>
      </w:r>
      <w:r>
        <w:tab/>
      </w:r>
      <w:r>
        <w:tab/>
        <w:t>Im Verlauf der Reaktion verfärbt sich die untere Phase erst dunkel violett, dann dunkel grünlich bis braun</w:t>
      </w:r>
      <w:r w:rsidRPr="00B63AE0">
        <w:t xml:space="preserve"> </w:t>
      </w:r>
      <w:r>
        <w:t>am Ende der Reaktion. Während der Reaktion sind unregelmäßig kleinere und größere Lichtblitze zu sehen und ein leises Knallen zu vernehmen.</w:t>
      </w:r>
    </w:p>
    <w:p w:rsidR="00163453" w:rsidRDefault="00163453" w:rsidP="00163453">
      <w:pPr>
        <w:pStyle w:val="Beschriftung"/>
        <w:jc w:val="center"/>
      </w:pPr>
      <w:r>
        <w:rPr>
          <w:noProof/>
          <w:lang w:eastAsia="de-DE"/>
        </w:rPr>
        <w:lastRenderedPageBreak/>
        <w:drawing>
          <wp:anchor distT="0" distB="0" distL="114300" distR="114300" simplePos="0" relativeHeight="251659264" behindDoc="0" locked="0" layoutInCell="1" allowOverlap="1" wp14:anchorId="2E668508" wp14:editId="2E0A5C66">
            <wp:simplePos x="0" y="0"/>
            <wp:positionH relativeFrom="column">
              <wp:posOffset>2957195</wp:posOffset>
            </wp:positionH>
            <wp:positionV relativeFrom="paragraph">
              <wp:posOffset>-4445</wp:posOffset>
            </wp:positionV>
            <wp:extent cx="2640965" cy="1799590"/>
            <wp:effectExtent l="0" t="0" r="0" b="0"/>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4096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0" locked="0" layoutInCell="1" allowOverlap="1" wp14:anchorId="5E877C63" wp14:editId="0EBBB8CF">
            <wp:simplePos x="0" y="0"/>
            <wp:positionH relativeFrom="column">
              <wp:posOffset>158115</wp:posOffset>
            </wp:positionH>
            <wp:positionV relativeFrom="paragraph">
              <wp:posOffset>-4445</wp:posOffset>
            </wp:positionV>
            <wp:extent cx="2796540" cy="1799590"/>
            <wp:effectExtent l="0" t="0" r="0" b="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6937" b="10362"/>
                    <a:stretch/>
                  </pic:blipFill>
                  <pic:spPr bwMode="auto">
                    <a:xfrm>
                      <a:off x="0" y="0"/>
                      <a:ext cx="2796540"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Abbildung </w:t>
      </w:r>
      <w:r>
        <w:fldChar w:fldCharType="begin"/>
      </w:r>
      <w:r>
        <w:instrText xml:space="preserve"> SEQ Abbildung \* ARABIC </w:instrText>
      </w:r>
      <w:r>
        <w:fldChar w:fldCharType="separate"/>
      </w:r>
      <w:r>
        <w:rPr>
          <w:noProof/>
        </w:rPr>
        <w:t>1</w:t>
      </w:r>
      <w:r>
        <w:rPr>
          <w:noProof/>
        </w:rPr>
        <w:fldChar w:fldCharType="end"/>
      </w:r>
      <w:r>
        <w:t>: Zu beobachtende Blitzentwicklung in der Petrischale.</w:t>
      </w:r>
    </w:p>
    <w:p w:rsidR="00163453" w:rsidRDefault="00163453" w:rsidP="00163453">
      <w:pPr>
        <w:tabs>
          <w:tab w:val="left" w:pos="1701"/>
          <w:tab w:val="left" w:pos="1985"/>
        </w:tabs>
        <w:ind w:left="1985" w:hanging="1985"/>
      </w:pPr>
    </w:p>
    <w:p w:rsidR="00163453" w:rsidRDefault="00163453" w:rsidP="00163453">
      <w:pPr>
        <w:tabs>
          <w:tab w:val="left" w:pos="1276"/>
          <w:tab w:val="left" w:pos="1985"/>
        </w:tabs>
        <w:ind w:left="1985" w:hanging="1985"/>
        <w:rPr>
          <w:rFonts w:eastAsiaTheme="minorEastAsia"/>
        </w:rPr>
      </w:pPr>
      <w:r>
        <w:t>Deutung:</w:t>
      </w:r>
      <w:r>
        <w:tab/>
      </w:r>
      <w:r>
        <w:tab/>
        <w:t>Durch eine chemische Reaktion kann Energie freigesetzt werden, die über die Blitze als Lichtenergie freigesetzt wird. Ebenso können Schallenergie durch den Knall und bei Entzünden ebenso Wärmeenergie erkannt werden.</w:t>
      </w:r>
    </w:p>
    <w:p w:rsidR="00163453" w:rsidRDefault="00163453" w:rsidP="00163453">
      <w:pPr>
        <w:tabs>
          <w:tab w:val="left" w:pos="1985"/>
        </w:tabs>
        <w:ind w:left="1985" w:hanging="1985"/>
        <w:jc w:val="left"/>
      </w:pPr>
      <w:r>
        <w:t>Entsorgung:</w:t>
      </w:r>
      <w:r>
        <w:tab/>
        <w:t>Der Inhalt der Petrischale wird zur Verdünnung und Reaktionsbeendung in das Glas Wasser gegeben und als saure Schwermetallsalzlösung entsorgt.</w:t>
      </w:r>
    </w:p>
    <w:p w:rsidR="00163453" w:rsidRDefault="00163453" w:rsidP="00163453">
      <w:pPr>
        <w:ind w:left="1985" w:hanging="1985"/>
      </w:pPr>
      <w:r>
        <w:t>Literatur:</w:t>
      </w:r>
      <w:r>
        <w:tab/>
        <w:t xml:space="preserve">[1] </w:t>
      </w:r>
      <w:r w:rsidRPr="001242C7">
        <w:t xml:space="preserve">Schmidkunz, Heinz; Rentsch, Werner (2011): Chemische Freihandversuche. Kleine Versuche </w:t>
      </w:r>
      <w:r>
        <w:t>mit großer Wirkung. Köln: Aulis, S. 65.</w:t>
      </w:r>
    </w:p>
    <w:p w:rsidR="00163453" w:rsidRPr="00395B7A" w:rsidRDefault="00163453" w:rsidP="00163453">
      <w:pPr>
        <w:spacing w:line="276" w:lineRule="auto"/>
        <w:ind w:left="2127" w:hanging="2127"/>
        <w:jc w:val="left"/>
        <w:rPr>
          <w:rFonts w:asciiTheme="majorHAnsi" w:hAnsiTheme="majorHAnsi"/>
        </w:rPr>
      </w:pPr>
    </w:p>
    <w:p w:rsidR="00163453" w:rsidRDefault="00163453" w:rsidP="00163453">
      <w:pPr>
        <w:tabs>
          <w:tab w:val="left" w:pos="1701"/>
          <w:tab w:val="left" w:pos="1985"/>
        </w:tabs>
        <w:ind w:left="1980" w:hanging="1980"/>
      </w:pPr>
      <w:r>
        <w:rPr>
          <w:noProof/>
          <w:lang w:eastAsia="de-DE"/>
        </w:rPr>
        <mc:AlternateContent>
          <mc:Choice Requires="wps">
            <w:drawing>
              <wp:inline distT="0" distB="0" distL="0" distR="0">
                <wp:extent cx="5873115" cy="3813810"/>
                <wp:effectExtent l="13970" t="10795" r="8890" b="13970"/>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81381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63453" w:rsidRDefault="00163453" w:rsidP="00163453">
                            <w:pPr>
                              <w:rPr>
                                <w:color w:val="auto"/>
                              </w:rPr>
                            </w:pPr>
                            <w:r w:rsidRPr="00F31EBF">
                              <w:rPr>
                                <w:b/>
                                <w:color w:val="auto"/>
                              </w:rPr>
                              <w:t>Unterrichtsanschlüsse</w:t>
                            </w:r>
                            <w:r>
                              <w:rPr>
                                <w:b/>
                                <w:color w:val="auto"/>
                              </w:rPr>
                              <w:t>:</w:t>
                            </w:r>
                            <w:r w:rsidRPr="00580AF4">
                              <w:rPr>
                                <w:color w:val="auto"/>
                              </w:rPr>
                              <w:t xml:space="preserve"> </w:t>
                            </w:r>
                            <w:r>
                              <w:rPr>
                                <w:color w:val="auto"/>
                              </w:rPr>
                              <w:t>Werden im Chemieunterricht die Energieformen natürlicher Energiequellen besprochen, sollte auch die Energienutzung aus chemischen Reaktionen angeschnitten werden. Dies ist in der 5. &amp; 6. Klassenstufe aber nur ganz oberflächlich möglich und kann erst in höheren Klassenstufen fachlich erarbeitet werden, da in den folgenden Jahren naturwissenschaftlichen Unterrichts das Basiskonzept der chemischen Reaktion und Kennzeichen dieser aufgegriffen werden. Den Schülerinnen und Schülern könnte als Bezug zur Alltagsnähe die Frage gestellt werden, ob auch aus Gewitterblitzen die Energie umgewandelt und nutzbar gemacht werden kann.</w:t>
                            </w:r>
                          </w:p>
                          <w:p w:rsidR="00163453" w:rsidRPr="00F31EBF" w:rsidRDefault="00163453" w:rsidP="00163453">
                            <w:pPr>
                              <w:rPr>
                                <w:color w:val="auto"/>
                              </w:rPr>
                            </w:pPr>
                            <w:r>
                              <w:rPr>
                                <w:color w:val="auto"/>
                              </w:rPr>
                              <w:t>Obwohl alle Chemikalien auch für Schülerinnen und Schüler ab der 5. Klassenstufe freigegeben sind, empfiehlt sich dieses Experiment als Lehrerversuch, da bei Entzündung des Ethanols größere Erfahrung im Experimentieren zu ruhigerem Vorgehen beiträgt. Außerdem werden als Lehrerversuch weniger Chemikalien eingesetzt und damit die Durchführung kostengünstiger. Als Varianten sind Durchführungen in kleinerem Maßstab möglich, durch die in der Petrischale größere Grenzfläche zwischen Ethanol und Schwefelsäure verläuft die Reaktion aber eindrucksvoller.</w:t>
                            </w:r>
                          </w:p>
                        </w:txbxContent>
                      </wps:txbx>
                      <wps:bodyPr rot="0" vert="horz" wrap="square" lIns="91440" tIns="45720" rIns="91440" bIns="45720" anchor="t" anchorCtr="0" upright="1">
                        <a:noAutofit/>
                      </wps:bodyPr>
                    </wps:wsp>
                  </a:graphicData>
                </a:graphic>
              </wp:inline>
            </w:drawing>
          </mc:Choice>
          <mc:Fallback>
            <w:pict>
              <v:shape id="Textfeld 33" o:spid="_x0000_s1027" type="#_x0000_t202" style="width:462.45pt;height:30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LT7wIAADMGAAAOAAAAZHJzL2Uyb0RvYy54bWysVNtu2zAMfR+wfxD0njqOc6tRp0jSZBiw&#10;G9AOe1YkORYmS56k1O6G/fsoukmz9WHD0KYwRF0OeUgeXl13tSb30nllTUHTiyEl0nArlNkX9PPd&#10;djCnxAdmBNPWyII+SE+vF69fXbVNLke2slpIRwDE+LxtClqF0ORJ4nkla+YvbCMNHJbW1SyA6faJ&#10;cKwF9Fono+FwmrTWicZZLr2H3Zv+kC4QvywlDx/L0stAdEEhtoBfh99d/CaLK5bvHWsqxR/DYP8R&#10;Rc2UAacnqBsWGDk49QyqVtxZb8twwW2d2LJUXCIHYJMO/2BzW7FGIhdIjm9OafIvB8s/3H9yRImC&#10;ZhklhtVQozvZhVJqQWAL8tM2Podrtw1cDN3KdlBn5Oqbd5Z/9cTYdcXMXi6ds20lmYD40vgyOXva&#10;4/gIsmvfWwF+2CFYBOpKV8fkQToIoEOdHk61gVgIh83JfJal6YQSDmfZPIV/rF7C8uPzxvnwRtqa&#10;xEVBHRQf4dn9Ox9iOCw/XonevNVKbJXWaMSGk2vtyD2DVtGhp6gPNcTa76XD+Nd3DOxDX/X7xzCw&#10;ZyMEevoNXRvSQk5GM3j/N9eMc2nCCO+9kPvI+ob5qo9XwKpnUasA4tOqLuj8jFws4cYIlEZgSvdr&#10;yJ42MXiJsupTClYXYIn7UCls+R/L7WQ4G2fzwWw2yQbjbDMcrObb9WC5TqfT2Wa1Xm3Sn5FgOs4r&#10;JYQ0G8T0RwWm43/r8MdZ0GvnpMFTgDEqewCOt5VoiVCxK7LJ5SilYMAQiPWIJSVM72F68eAocTZ8&#10;UaFC6cUmjBje7Xen1phP4w/b+wwda37mOHnGrb/RQaogk8esoUKiKHp5hG7XoRhRPlE9OyseQDIQ&#10;FeoCJi0sKuu+U9LC1Cqo/3ZgTlKi3xqQ3WU6Hscxh8Z4MhuB4c5PducnzHCAKmiADOByHfrReGic&#10;2lfgqVeBsUuQaqlQRE9RAZNowGRCTo9TNI6+cxtvPc36xS8AAAD//wMAUEsDBBQABgAIAAAAIQAJ&#10;GXwl2gAAAAUBAAAPAAAAZHJzL2Rvd25yZXYueG1sTI/BTsMwEETvSPyDtUjcqJOCKprGqQCpd2gq&#10;FW5uvI2j2OsodtvA17NwgctIq1nNvCnXk3fijGPsAinIZxkIpCaYjloFu3pz9wgiJk1Gu0Co4BMj&#10;rKvrq1IXJlzoDc/b1AoOoVhoBTaloZAyNha9jrMwILF3DKPXic+xlWbUFw73Ts6zbCG97ogbrB7w&#10;xWLTb09eQe/2z/ojb+/zze59X1v8Mv1rrdTtzfS0ApFwSn/P8IPP6FAx0yGcyEThFPCQ9KvsLecP&#10;SxAHBQuuBFmV8j999Q0AAP//AwBQSwECLQAUAAYACAAAACEAtoM4kv4AAADhAQAAEwAAAAAAAAAA&#10;AAAAAAAAAAAAW0NvbnRlbnRfVHlwZXNdLnhtbFBLAQItABQABgAIAAAAIQA4/SH/1gAAAJQBAAAL&#10;AAAAAAAAAAAAAAAAAC8BAABfcmVscy8ucmVsc1BLAQItABQABgAIAAAAIQCrB9LT7wIAADMGAAAO&#10;AAAAAAAAAAAAAAAAAC4CAABkcnMvZTJvRG9jLnhtbFBLAQItABQABgAIAAAAIQAJGXwl2gAAAAUB&#10;AAAPAAAAAAAAAAAAAAAAAEkFAABkcnMvZG93bnJldi54bWxQSwUGAAAAAAQABADzAAAAUAYAAAAA&#10;" fillcolor="white [3201]" strokecolor="#ed7d31 [3205]" strokeweight="1pt">
                <v:stroke dashstyle="dash"/>
                <v:shadow color="#868686"/>
                <v:textbox>
                  <w:txbxContent>
                    <w:p w:rsidR="00163453" w:rsidRDefault="00163453" w:rsidP="00163453">
                      <w:pPr>
                        <w:rPr>
                          <w:color w:val="auto"/>
                        </w:rPr>
                      </w:pPr>
                      <w:r w:rsidRPr="00F31EBF">
                        <w:rPr>
                          <w:b/>
                          <w:color w:val="auto"/>
                        </w:rPr>
                        <w:t>Unterrichtsanschlüsse</w:t>
                      </w:r>
                      <w:r>
                        <w:rPr>
                          <w:b/>
                          <w:color w:val="auto"/>
                        </w:rPr>
                        <w:t>:</w:t>
                      </w:r>
                      <w:r w:rsidRPr="00580AF4">
                        <w:rPr>
                          <w:color w:val="auto"/>
                        </w:rPr>
                        <w:t xml:space="preserve"> </w:t>
                      </w:r>
                      <w:r>
                        <w:rPr>
                          <w:color w:val="auto"/>
                        </w:rPr>
                        <w:t>Werden im Chemieunterricht die Energieformen natürlicher Energiequellen besprochen, sollte auch die Energienutzung aus chemischen Reaktionen angeschnitten werden. Dies ist in der 5. &amp; 6. Klassenstufe aber nur ganz oberflächlich möglich und kann erst in höheren Klassenstufen fachlich erarbeitet werden, da in den folgenden Jahren naturwissenschaftlichen Unterrichts das Basiskonzept der chemischen Reaktion und Kennzeichen dieser aufgegriffen werden. Den Schülerinnen und Schülern könnte als Bezug zur Alltagsnähe die Frage gestellt werden, ob auch aus Gewitterblitzen die Energie umgewandelt und nutzbar gemacht werden kann.</w:t>
                      </w:r>
                    </w:p>
                    <w:p w:rsidR="00163453" w:rsidRPr="00F31EBF" w:rsidRDefault="00163453" w:rsidP="00163453">
                      <w:pPr>
                        <w:rPr>
                          <w:color w:val="auto"/>
                        </w:rPr>
                      </w:pPr>
                      <w:r>
                        <w:rPr>
                          <w:color w:val="auto"/>
                        </w:rPr>
                        <w:t>Obwohl alle Chemikalien auch für Schülerinnen und Schüler ab der 5. Klassenstufe freigegeben sind, empfiehlt sich dieses Experiment als Lehrerversuch, da bei Entzündung des Ethanols größere Erfahrung im Experimentieren zu ruhigerem Vorgehen beiträgt. Außerdem werden als Lehrerversuch weniger Chemikalien eingesetzt und damit die Durchführung kostengünstiger. Als Varianten sind Durchführungen in kleinerem Maßstab möglich, durch die in der Petrischale größere Grenzfläche zwischen Ethanol und Schwefelsäure verläuft die Reaktion aber eindrucksvoller.</w:t>
                      </w:r>
                    </w:p>
                  </w:txbxContent>
                </v:textbox>
                <w10:anchorlock/>
              </v:shape>
            </w:pict>
          </mc:Fallback>
        </mc:AlternateContent>
      </w:r>
    </w:p>
    <w:p w:rsidR="00CC5B1D" w:rsidRPr="00163453" w:rsidRDefault="00CC5B1D" w:rsidP="00163453">
      <w:pPr>
        <w:spacing w:line="276" w:lineRule="auto"/>
        <w:jc w:val="left"/>
      </w:pPr>
    </w:p>
    <w:sectPr w:rsidR="00CC5B1D" w:rsidRPr="00163453" w:rsidSect="005B0270">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0A1" w:rsidRDefault="003E50A1" w:rsidP="00E83D01">
      <w:pPr>
        <w:spacing w:after="0" w:line="240" w:lineRule="auto"/>
      </w:pPr>
      <w:r>
        <w:separator/>
      </w:r>
    </w:p>
  </w:endnote>
  <w:endnote w:type="continuationSeparator" w:id="0">
    <w:p w:rsidR="003E50A1" w:rsidRDefault="003E50A1" w:rsidP="00E8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0A1" w:rsidRDefault="003E50A1" w:rsidP="00E83D01">
      <w:pPr>
        <w:spacing w:after="0" w:line="240" w:lineRule="auto"/>
      </w:pPr>
      <w:r>
        <w:separator/>
      </w:r>
    </w:p>
  </w:footnote>
  <w:footnote w:type="continuationSeparator" w:id="0">
    <w:p w:rsidR="003E50A1" w:rsidRDefault="003E50A1" w:rsidP="00E8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52F5"/>
    <w:multiLevelType w:val="hybridMultilevel"/>
    <w:tmpl w:val="6CC2CBF4"/>
    <w:lvl w:ilvl="0" w:tplc="0407000F">
      <w:start w:val="1"/>
      <w:numFmt w:val="decimal"/>
      <w:lvlText w:val="%1."/>
      <w:lvlJc w:val="left"/>
      <w:pPr>
        <w:ind w:left="1296" w:hanging="360"/>
      </w:pPr>
    </w:lvl>
    <w:lvl w:ilvl="1" w:tplc="04070019" w:tentative="1">
      <w:start w:val="1"/>
      <w:numFmt w:val="lowerLetter"/>
      <w:lvlText w:val="%2."/>
      <w:lvlJc w:val="left"/>
      <w:pPr>
        <w:ind w:left="2016" w:hanging="360"/>
      </w:pPr>
    </w:lvl>
    <w:lvl w:ilvl="2" w:tplc="0407001B" w:tentative="1">
      <w:start w:val="1"/>
      <w:numFmt w:val="lowerRoman"/>
      <w:lvlText w:val="%3."/>
      <w:lvlJc w:val="right"/>
      <w:pPr>
        <w:ind w:left="2736" w:hanging="180"/>
      </w:pPr>
    </w:lvl>
    <w:lvl w:ilvl="3" w:tplc="0407000F" w:tentative="1">
      <w:start w:val="1"/>
      <w:numFmt w:val="decimal"/>
      <w:lvlText w:val="%4."/>
      <w:lvlJc w:val="left"/>
      <w:pPr>
        <w:ind w:left="3456" w:hanging="360"/>
      </w:pPr>
    </w:lvl>
    <w:lvl w:ilvl="4" w:tplc="04070019" w:tentative="1">
      <w:start w:val="1"/>
      <w:numFmt w:val="lowerLetter"/>
      <w:lvlText w:val="%5."/>
      <w:lvlJc w:val="left"/>
      <w:pPr>
        <w:ind w:left="4176" w:hanging="360"/>
      </w:pPr>
    </w:lvl>
    <w:lvl w:ilvl="5" w:tplc="0407001B" w:tentative="1">
      <w:start w:val="1"/>
      <w:numFmt w:val="lowerRoman"/>
      <w:lvlText w:val="%6."/>
      <w:lvlJc w:val="right"/>
      <w:pPr>
        <w:ind w:left="4896" w:hanging="180"/>
      </w:pPr>
    </w:lvl>
    <w:lvl w:ilvl="6" w:tplc="0407000F" w:tentative="1">
      <w:start w:val="1"/>
      <w:numFmt w:val="decimal"/>
      <w:lvlText w:val="%7."/>
      <w:lvlJc w:val="left"/>
      <w:pPr>
        <w:ind w:left="5616" w:hanging="360"/>
      </w:pPr>
    </w:lvl>
    <w:lvl w:ilvl="7" w:tplc="04070019" w:tentative="1">
      <w:start w:val="1"/>
      <w:numFmt w:val="lowerLetter"/>
      <w:lvlText w:val="%8."/>
      <w:lvlJc w:val="left"/>
      <w:pPr>
        <w:ind w:left="6336" w:hanging="360"/>
      </w:pPr>
    </w:lvl>
    <w:lvl w:ilvl="8" w:tplc="0407001B" w:tentative="1">
      <w:start w:val="1"/>
      <w:numFmt w:val="lowerRoman"/>
      <w:lvlText w:val="%9."/>
      <w:lvlJc w:val="right"/>
      <w:pPr>
        <w:ind w:left="7056" w:hanging="180"/>
      </w:pPr>
    </w:lvl>
  </w:abstractNum>
  <w:abstractNum w:abstractNumId="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E4"/>
    <w:rsid w:val="00074926"/>
    <w:rsid w:val="000D1C49"/>
    <w:rsid w:val="00163453"/>
    <w:rsid w:val="003E50A1"/>
    <w:rsid w:val="004255E4"/>
    <w:rsid w:val="00656137"/>
    <w:rsid w:val="00CC5B1D"/>
    <w:rsid w:val="00E83D01"/>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46B04"/>
  <w15:chartTrackingRefBased/>
  <w15:docId w15:val="{854B1A37-1FAF-42FB-BA7D-E7E4771A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255E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255E4"/>
    <w:pPr>
      <w:keepNext/>
      <w:keepLines/>
      <w:numPr>
        <w:numId w:val="1"/>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4255E4"/>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4255E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255E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255E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255E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255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255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255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55E4"/>
    <w:rPr>
      <w:rFonts w:ascii="Cambria" w:eastAsiaTheme="majorEastAsia" w:hAnsi="Cambria"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255E4"/>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255E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255E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4255E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4255E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4255E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255E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255E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255E4"/>
    <w:pPr>
      <w:spacing w:line="240" w:lineRule="auto"/>
    </w:pPr>
    <w:rPr>
      <w:bCs/>
      <w:color w:val="auto"/>
      <w:sz w:val="18"/>
      <w:szCs w:val="18"/>
    </w:rPr>
  </w:style>
  <w:style w:type="paragraph" w:styleId="Kopfzeile">
    <w:name w:val="header"/>
    <w:basedOn w:val="Standard"/>
    <w:link w:val="KopfzeileZchn"/>
    <w:uiPriority w:val="99"/>
    <w:unhideWhenUsed/>
    <w:rsid w:val="00E83D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3D01"/>
    <w:rPr>
      <w:rFonts w:ascii="Cambria" w:hAnsi="Cambria"/>
      <w:color w:val="171717" w:themeColor="background2" w:themeShade="1A"/>
    </w:rPr>
  </w:style>
  <w:style w:type="paragraph" w:styleId="Fuzeile">
    <w:name w:val="footer"/>
    <w:basedOn w:val="Standard"/>
    <w:link w:val="FuzeileZchn"/>
    <w:uiPriority w:val="99"/>
    <w:unhideWhenUsed/>
    <w:rsid w:val="00E83D0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83D01"/>
    <w:rPr>
      <w:rFonts w:ascii="Cambria" w:hAnsi="Cambria"/>
      <w:color w:val="171717" w:themeColor="background2" w:themeShade="1A"/>
    </w:rPr>
  </w:style>
  <w:style w:type="character" w:styleId="Hyperlink">
    <w:name w:val="Hyperlink"/>
    <w:basedOn w:val="Absatz-Standardschriftart"/>
    <w:uiPriority w:val="99"/>
    <w:unhideWhenUsed/>
    <w:rsid w:val="001634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e.wikipedia.org/wiki/H-_und_P-S%C3%A4tze"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2016-08-09T09:05:00Z</dcterms:created>
  <dcterms:modified xsi:type="dcterms:W3CDTF">2016-08-09T09:05:00Z</dcterms:modified>
</cp:coreProperties>
</file>