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C3" w:rsidRPr="0086115F" w:rsidRDefault="000150C3" w:rsidP="000150C3">
      <w:pPr>
        <w:pStyle w:val="berschrift2"/>
        <w:numPr>
          <w:ilvl w:val="0"/>
          <w:numId w:val="0"/>
        </w:numPr>
        <w:ind w:left="576" w:hanging="576"/>
        <w:rPr>
          <w:rFonts w:ascii="Cambria" w:hAnsi="Cambria"/>
          <w:color w:val="auto"/>
        </w:rPr>
      </w:pPr>
      <w:r w:rsidRPr="0086115F">
        <w:rPr>
          <w:rFonts w:ascii="Cambria" w:hAnsi="Cambria"/>
          <w:noProof/>
          <w:lang w:eastAsia="de-DE"/>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406400</wp:posOffset>
                </wp:positionV>
                <wp:extent cx="5873115" cy="1532890"/>
                <wp:effectExtent l="0" t="0" r="13335" b="10160"/>
                <wp:wrapSquare wrapText="bothSides"/>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328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150C3" w:rsidRDefault="000150C3" w:rsidP="000150C3">
                            <w:pPr>
                              <w:rPr>
                                <w:color w:val="auto"/>
                              </w:rPr>
                            </w:pPr>
                            <w:r>
                              <w:rPr>
                                <w:color w:val="auto"/>
                              </w:rPr>
                              <w:t>In diesem Versuch wird eine Legierung von einer Kupfermünze mit Zinkpulver hergestellt und soll</w:t>
                            </w:r>
                            <w:r w:rsidRPr="00AD13FB">
                              <w:rPr>
                                <w:color w:val="auto"/>
                              </w:rPr>
                              <w:t xml:space="preserve"> </w:t>
                            </w:r>
                            <w:r>
                              <w:rPr>
                                <w:color w:val="auto"/>
                              </w:rPr>
                              <w:t xml:space="preserve">als Beispiel eines homogenen Stoffgemischs dienen. Hierzu wird eine gereinigte Kupfermünze in eine erhitzte </w:t>
                            </w:r>
                            <w:proofErr w:type="spellStart"/>
                            <w:r>
                              <w:rPr>
                                <w:color w:val="auto"/>
                              </w:rPr>
                              <w:t>Natriumhydroxidlösung</w:t>
                            </w:r>
                            <w:proofErr w:type="spellEnd"/>
                            <w:r>
                              <w:rPr>
                                <w:color w:val="auto"/>
                              </w:rPr>
                              <w:t xml:space="preserve"> mit Zinkpulver gegeben. Anschließend wird die Münze in einer Brennerflamme weiter erhitzt. Die </w:t>
                            </w:r>
                            <w:proofErr w:type="spellStart"/>
                            <w:r>
                              <w:rPr>
                                <w:color w:val="auto"/>
                              </w:rPr>
                              <w:t>SuS</w:t>
                            </w:r>
                            <w:proofErr w:type="spellEnd"/>
                            <w:r>
                              <w:rPr>
                                <w:color w:val="auto"/>
                              </w:rPr>
                              <w:t xml:space="preserve"> sollten bereits die Unterscheidung von Reinstoffen und Stoffgemischen im Allgemeinen verstanden haben, da in diesem Versuch die Eigenschaften von homogenen Stoffgemischen behandelt werden.</w:t>
                            </w:r>
                          </w:p>
                          <w:p w:rsidR="000150C3" w:rsidRDefault="000150C3" w:rsidP="000150C3">
                            <w:pPr>
                              <w:rPr>
                                <w:color w:val="auto"/>
                              </w:rPr>
                            </w:pPr>
                            <w:r>
                              <w:rPr>
                                <w:color w:val="auto"/>
                              </w:rPr>
                              <w:t>Vorwissen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9" o:spid="_x0000_s1026" type="#_x0000_t202" style="position:absolute;left:0;text-align:left;margin-left:-.35pt;margin-top:32pt;width:462.45pt;height:1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fl7gIAACwGAAAOAAAAZHJzL2Uyb0RvYy54bWysVNuO2jAQfa/Uf7D8zoZAwiXasAIWqkrb&#10;i7Rb9dnYDrHq2KltNtlW/feObaC0+9CqWpAijy9n5szMmeubvpHokRsrtCpxejXEiCuqmVD7En96&#10;2A5mGFlHFCNSK17iJ27xzeL1q+uuLfhI11oybhCAKFt0bYlr59oiSSyteUPslW65gsNKm4Y4MM0+&#10;YYZ0gN7IZDQcTpJOG9YaTbm1sHsbD/Ei4FcVp+5DVVnukCwxxObC14Tvzn+TxTUp9oa0taDHMMh/&#10;RNEQocDpGeqWOIIORjyDagQ12urKXVHdJLqqBOWBA7BJh3+wua9JywMXSI5tz2myLwdL3z9+NEiw&#10;EmdzjBRpoEYPvHcVlwzBFuSna20B1+5buOj6le6hzoGrbe80/WKR0uuaqD1fGqO7mhMG8aX+ZXLx&#10;NOJYD7Lr3mkGfsjB6QDUV6bxyYN0IECHOj2dawOxIAqb+Ww6TtMcIwpnaT4ezeahegkpTs9bY90b&#10;rhvkFyU2UPwATx7vrPPhkOJ0xXuzWgq2FVIGwzccX0uDHgm0inSRojw0EGvcS4f+FzsG9qGv4v4p&#10;jNCzHiJ4+g1dKtRB1KMpvP+ba0IpVy4P917IvWd9S2wd42Wwiiwa4UB8UjQlnl2Q8yXcKBak4YiQ&#10;cQ3Zk8oHz4OsYkrB6h0swz5UKrT89+U2H06z8WwwnebjQTbeDAer2XY9WK7TyWS6Wa1Xm/SHJ5hm&#10;RS0Y42oTMO1JgWn2bx1+nAVRO2cNngP0UekDcLyvWYeY8F0xzuejFIMBQ8DXw5cUEbmH6UWdwcho&#10;91m4OkjPN6HHsGa/O7fGbOL/ob0v0EPNLxwnz7jFGz2kCjJ5ylpQiBdFlIfrd/1RcTvNnkArEE4Q&#10;BIxYWNTafMOog3FVYvv1QAzHSL5VoLd5mmV+vgUjy6cjMMzlye7yhCgKUCV2QD0s1y7OxENrxL4G&#10;T7H9lV6CRisR1OPFHKMCCt6AkRTIHMenn3mXdrj1a8gvfgIAAP//AwBQSwMEFAAGAAgAAAAhAJK2&#10;e07fAAAACAEAAA8AAABkcnMvZG93bnJldi54bWxMj81OwzAQhO9IvIO1SNxam5D+hWwqVIkDFA4E&#10;et8m2yQitqPYTUKfHnOC42hGM9+k20m3YuDeNdYg3M0VCDaFLRtTIXx+PM3WIJwnU1JrDSN8s4Nt&#10;dn2VUlLa0bzzkPtKhBLjEkKove8SKV1RsyY3tx2b4J1sr8kH2Vey7GkM5bqVkVJLqakxYaGmjnc1&#10;F1/5WSPsXtaXUS+I9sPh1OWvz/uLelsh3t5Mjw8gPE/+Lwy/+AEdssB0tGdTOtEizFYhiLCMw6Ng&#10;b6I4AnFEuFeLGGSWyv8Hsh8AAAD//wMAUEsBAi0AFAAGAAgAAAAhALaDOJL+AAAA4QEAABMAAAAA&#10;AAAAAAAAAAAAAAAAAFtDb250ZW50X1R5cGVzXS54bWxQSwECLQAUAAYACAAAACEAOP0h/9YAAACU&#10;AQAACwAAAAAAAAAAAAAAAAAvAQAAX3JlbHMvLnJlbHNQSwECLQAUAAYACAAAACEA3Rcn5e4CAAAs&#10;BgAADgAAAAAAAAAAAAAAAAAuAgAAZHJzL2Uyb0RvYy54bWxQSwECLQAUAAYACAAAACEAkrZ7Tt8A&#10;AAAIAQAADwAAAAAAAAAAAAAAAABIBQAAZHJzL2Rvd25yZXYueG1sUEsFBgAAAAAEAAQA8wAAAFQG&#10;AAAAAA==&#10;" fillcolor="white [3201]" strokecolor="#4472c4 [3208]" strokeweight="1pt">
                <v:stroke dashstyle="dash"/>
                <v:shadow color="#868686"/>
                <v:textbox>
                  <w:txbxContent>
                    <w:p w:rsidR="000150C3" w:rsidRDefault="000150C3" w:rsidP="000150C3">
                      <w:pPr>
                        <w:rPr>
                          <w:color w:val="auto"/>
                        </w:rPr>
                      </w:pPr>
                      <w:r>
                        <w:rPr>
                          <w:color w:val="auto"/>
                        </w:rPr>
                        <w:t>In diesem Versuch wird eine Legierung von einer Kupfermünze mit Zinkpulver hergestellt und soll</w:t>
                      </w:r>
                      <w:r w:rsidRPr="00AD13FB">
                        <w:rPr>
                          <w:color w:val="auto"/>
                        </w:rPr>
                        <w:t xml:space="preserve"> </w:t>
                      </w:r>
                      <w:r>
                        <w:rPr>
                          <w:color w:val="auto"/>
                        </w:rPr>
                        <w:t xml:space="preserve">als Beispiel eines homogenen Stoffgemischs dienen. Hierzu wird eine gereinigte Kupfermünze in eine erhitzte </w:t>
                      </w:r>
                      <w:proofErr w:type="spellStart"/>
                      <w:r>
                        <w:rPr>
                          <w:color w:val="auto"/>
                        </w:rPr>
                        <w:t>Natriumhydroxidlösung</w:t>
                      </w:r>
                      <w:proofErr w:type="spellEnd"/>
                      <w:r>
                        <w:rPr>
                          <w:color w:val="auto"/>
                        </w:rPr>
                        <w:t xml:space="preserve"> mit Zinkpulver gegeben. Anschließend wird die Münze in einer Brennerflamme weiter erhitzt. Die </w:t>
                      </w:r>
                      <w:proofErr w:type="spellStart"/>
                      <w:r>
                        <w:rPr>
                          <w:color w:val="auto"/>
                        </w:rPr>
                        <w:t>SuS</w:t>
                      </w:r>
                      <w:proofErr w:type="spellEnd"/>
                      <w:r>
                        <w:rPr>
                          <w:color w:val="auto"/>
                        </w:rPr>
                        <w:t xml:space="preserve"> sollten bereits die Unterscheidung von Reinstoffen und Stoffgemischen im Allgemeinen verstanden haben, da in diesem Versuch die Eigenschaften von homogenen Stoffgemischen behandelt werden.</w:t>
                      </w:r>
                    </w:p>
                    <w:p w:rsidR="000150C3" w:rsidRDefault="000150C3" w:rsidP="000150C3">
                      <w:pPr>
                        <w:rPr>
                          <w:color w:val="auto"/>
                        </w:rPr>
                      </w:pPr>
                      <w:r>
                        <w:rPr>
                          <w:color w:val="auto"/>
                        </w:rPr>
                        <w:t>Vorwissen</w:t>
                      </w:r>
                    </w:p>
                  </w:txbxContent>
                </v:textbox>
                <w10:wrap type="square"/>
              </v:shape>
            </w:pict>
          </mc:Fallback>
        </mc:AlternateContent>
      </w:r>
      <w:bookmarkStart w:id="0" w:name="_Toc457461544"/>
      <w:r w:rsidRPr="0086115F">
        <w:rPr>
          <w:rFonts w:ascii="Cambria" w:hAnsi="Cambria"/>
          <w:color w:val="auto"/>
        </w:rPr>
        <w:t xml:space="preserve">V2 – </w:t>
      </w:r>
      <w:bookmarkStart w:id="1" w:name="_Toc425843929"/>
      <w:r w:rsidRPr="0086115F">
        <w:rPr>
          <w:rFonts w:ascii="Cambria" w:hAnsi="Cambria"/>
          <w:color w:val="auto"/>
        </w:rPr>
        <w:t>Legierung einer Kupfermünz</w:t>
      </w:r>
      <w:bookmarkEnd w:id="1"/>
      <w:r w:rsidRPr="0086115F">
        <w:rPr>
          <w:rFonts w:ascii="Cambria" w:hAnsi="Cambria"/>
          <w:color w:val="auto"/>
        </w:rPr>
        <w:t>e</w:t>
      </w:r>
      <w:bookmarkEnd w:id="0"/>
    </w:p>
    <w:p w:rsidR="000150C3" w:rsidRDefault="000150C3" w:rsidP="000150C3">
      <w:pPr>
        <w:pStyle w:val="berschrift2"/>
        <w:numPr>
          <w:ilvl w:val="0"/>
          <w:numId w:val="0"/>
        </w:numPr>
      </w:pPr>
    </w:p>
    <w:tbl>
      <w:tblPr>
        <w:tblW w:w="931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784"/>
        <w:gridCol w:w="1232"/>
        <w:gridCol w:w="1174"/>
        <w:gridCol w:w="429"/>
        <w:gridCol w:w="1537"/>
        <w:gridCol w:w="1008"/>
        <w:gridCol w:w="1133"/>
      </w:tblGrid>
      <w:tr w:rsidR="000150C3" w:rsidTr="00F52525">
        <w:tc>
          <w:tcPr>
            <w:tcW w:w="9315" w:type="dxa"/>
            <w:gridSpan w:val="9"/>
            <w:tcBorders>
              <w:top w:val="single" w:sz="8" w:space="0" w:color="4F81BD"/>
              <w:left w:val="single" w:sz="8" w:space="0" w:color="4F81BD"/>
              <w:bottom w:val="nil"/>
              <w:right w:val="single" w:sz="8" w:space="0" w:color="4F81BD"/>
            </w:tcBorders>
            <w:shd w:val="clear" w:color="auto" w:fill="4F81BD"/>
            <w:vAlign w:val="center"/>
            <w:hideMark/>
          </w:tcPr>
          <w:p w:rsidR="000150C3" w:rsidRDefault="000150C3" w:rsidP="00F52525">
            <w:pPr>
              <w:spacing w:after="0"/>
              <w:jc w:val="center"/>
              <w:rPr>
                <w:b/>
                <w:bCs/>
                <w:color w:val="FFFFFF" w:themeColor="background1"/>
              </w:rPr>
            </w:pPr>
            <w:r>
              <w:rPr>
                <w:b/>
                <w:bCs/>
                <w:color w:val="FFFFFF" w:themeColor="background1"/>
              </w:rPr>
              <w:t>Gefahrenstoffe</w:t>
            </w:r>
          </w:p>
        </w:tc>
      </w:tr>
      <w:tr w:rsidR="000150C3" w:rsidTr="00F52525">
        <w:trPr>
          <w:trHeight w:val="437"/>
        </w:trPr>
        <w:tc>
          <w:tcPr>
            <w:tcW w:w="2802" w:type="dxa"/>
            <w:gridSpan w:val="3"/>
            <w:tcBorders>
              <w:top w:val="single" w:sz="8" w:space="0" w:color="4F81BD"/>
              <w:left w:val="single" w:sz="8" w:space="0" w:color="4F81BD"/>
              <w:bottom w:val="single" w:sz="8" w:space="0" w:color="4F81BD"/>
              <w:right w:val="nil"/>
            </w:tcBorders>
            <w:vAlign w:val="center"/>
            <w:hideMark/>
          </w:tcPr>
          <w:p w:rsidR="000150C3" w:rsidRDefault="000150C3" w:rsidP="00F52525">
            <w:pPr>
              <w:spacing w:after="0" w:line="276" w:lineRule="auto"/>
              <w:jc w:val="center"/>
              <w:rPr>
                <w:b/>
                <w:bCs/>
              </w:rPr>
            </w:pPr>
            <w:proofErr w:type="spellStart"/>
            <w:r>
              <w:rPr>
                <w:sz w:val="20"/>
              </w:rPr>
              <w:t>konz</w:t>
            </w:r>
            <w:proofErr w:type="spellEnd"/>
            <w:r>
              <w:rPr>
                <w:sz w:val="20"/>
              </w:rPr>
              <w:t>. Natriumhydroxid</w:t>
            </w:r>
          </w:p>
        </w:tc>
        <w:tc>
          <w:tcPr>
            <w:tcW w:w="2835" w:type="dxa"/>
            <w:gridSpan w:val="3"/>
            <w:tcBorders>
              <w:top w:val="single" w:sz="8" w:space="0" w:color="4F81BD"/>
              <w:left w:val="nil"/>
              <w:bottom w:val="single" w:sz="8" w:space="0" w:color="4F81BD"/>
              <w:right w:val="nil"/>
            </w:tcBorders>
            <w:vAlign w:val="center"/>
            <w:hideMark/>
          </w:tcPr>
          <w:p w:rsidR="000150C3" w:rsidRDefault="000150C3" w:rsidP="00F52525">
            <w:pPr>
              <w:spacing w:after="0"/>
              <w:jc w:val="center"/>
            </w:pPr>
            <w:r>
              <w:rPr>
                <w:sz w:val="20"/>
              </w:rPr>
              <w:t>H: 314-290</w:t>
            </w:r>
          </w:p>
        </w:tc>
        <w:tc>
          <w:tcPr>
            <w:tcW w:w="3678" w:type="dxa"/>
            <w:gridSpan w:val="3"/>
            <w:tcBorders>
              <w:top w:val="single" w:sz="8" w:space="0" w:color="4F81BD"/>
              <w:left w:val="nil"/>
              <w:bottom w:val="single" w:sz="8" w:space="0" w:color="4F81BD"/>
              <w:right w:val="single" w:sz="8" w:space="0" w:color="4F81BD"/>
            </w:tcBorders>
            <w:vAlign w:val="center"/>
            <w:hideMark/>
          </w:tcPr>
          <w:p w:rsidR="000150C3" w:rsidRDefault="000150C3" w:rsidP="00F52525">
            <w:pPr>
              <w:spacing w:after="0"/>
              <w:jc w:val="center"/>
            </w:pPr>
            <w:r>
              <w:rPr>
                <w:sz w:val="20"/>
              </w:rPr>
              <w:t>P: 280-301+330+331-305+351+338-308+310</w:t>
            </w:r>
          </w:p>
        </w:tc>
      </w:tr>
      <w:tr w:rsidR="000150C3" w:rsidTr="00F52525">
        <w:trPr>
          <w:trHeight w:val="437"/>
        </w:trPr>
        <w:tc>
          <w:tcPr>
            <w:tcW w:w="2802" w:type="dxa"/>
            <w:gridSpan w:val="3"/>
            <w:tcBorders>
              <w:top w:val="single" w:sz="8" w:space="0" w:color="4F81BD"/>
              <w:left w:val="single" w:sz="8" w:space="0" w:color="4F81BD"/>
              <w:bottom w:val="single" w:sz="8" w:space="0" w:color="4F81BD"/>
              <w:right w:val="nil"/>
            </w:tcBorders>
            <w:vAlign w:val="center"/>
            <w:hideMark/>
          </w:tcPr>
          <w:p w:rsidR="000150C3" w:rsidRDefault="000150C3" w:rsidP="00F52525">
            <w:pPr>
              <w:spacing w:after="0" w:line="276" w:lineRule="auto"/>
              <w:jc w:val="center"/>
              <w:rPr>
                <w:sz w:val="20"/>
              </w:rPr>
            </w:pPr>
            <w:r>
              <w:rPr>
                <w:sz w:val="20"/>
              </w:rPr>
              <w:t>Ethanol</w:t>
            </w:r>
          </w:p>
        </w:tc>
        <w:tc>
          <w:tcPr>
            <w:tcW w:w="2835" w:type="dxa"/>
            <w:gridSpan w:val="3"/>
            <w:tcBorders>
              <w:top w:val="single" w:sz="8" w:space="0" w:color="4F81BD"/>
              <w:left w:val="nil"/>
              <w:bottom w:val="single" w:sz="8" w:space="0" w:color="4F81BD"/>
              <w:right w:val="nil"/>
            </w:tcBorders>
            <w:vAlign w:val="center"/>
            <w:hideMark/>
          </w:tcPr>
          <w:p w:rsidR="000150C3" w:rsidRDefault="000150C3" w:rsidP="00F52525">
            <w:pPr>
              <w:spacing w:after="0"/>
              <w:jc w:val="center"/>
              <w:rPr>
                <w:sz w:val="20"/>
              </w:rPr>
            </w:pPr>
            <w:r>
              <w:rPr>
                <w:sz w:val="20"/>
              </w:rPr>
              <w:t>H: 225</w:t>
            </w:r>
          </w:p>
        </w:tc>
        <w:tc>
          <w:tcPr>
            <w:tcW w:w="3678" w:type="dxa"/>
            <w:gridSpan w:val="3"/>
            <w:tcBorders>
              <w:top w:val="single" w:sz="8" w:space="0" w:color="4F81BD"/>
              <w:left w:val="nil"/>
              <w:bottom w:val="single" w:sz="8" w:space="0" w:color="4F81BD"/>
              <w:right w:val="single" w:sz="8" w:space="0" w:color="4F81BD"/>
            </w:tcBorders>
            <w:vAlign w:val="center"/>
            <w:hideMark/>
          </w:tcPr>
          <w:p w:rsidR="000150C3" w:rsidRDefault="000150C3" w:rsidP="00F52525">
            <w:pPr>
              <w:spacing w:after="0"/>
              <w:jc w:val="center"/>
              <w:rPr>
                <w:sz w:val="20"/>
              </w:rPr>
            </w:pPr>
            <w:r>
              <w:rPr>
                <w:sz w:val="20"/>
              </w:rPr>
              <w:t>P: 210</w:t>
            </w:r>
          </w:p>
        </w:tc>
      </w:tr>
      <w:tr w:rsidR="000150C3" w:rsidTr="00F52525">
        <w:trPr>
          <w:trHeight w:val="437"/>
        </w:trPr>
        <w:tc>
          <w:tcPr>
            <w:tcW w:w="2802" w:type="dxa"/>
            <w:gridSpan w:val="3"/>
            <w:tcBorders>
              <w:top w:val="single" w:sz="8" w:space="0" w:color="4F81BD"/>
              <w:left w:val="single" w:sz="8" w:space="0" w:color="4F81BD"/>
              <w:bottom w:val="single" w:sz="8" w:space="0" w:color="4F81BD"/>
              <w:right w:val="nil"/>
            </w:tcBorders>
            <w:vAlign w:val="center"/>
            <w:hideMark/>
          </w:tcPr>
          <w:p w:rsidR="000150C3" w:rsidRDefault="000150C3" w:rsidP="00F52525">
            <w:pPr>
              <w:spacing w:after="0" w:line="276" w:lineRule="auto"/>
              <w:jc w:val="center"/>
              <w:rPr>
                <w:sz w:val="20"/>
              </w:rPr>
            </w:pPr>
            <w:proofErr w:type="spellStart"/>
            <w:r>
              <w:rPr>
                <w:sz w:val="20"/>
              </w:rPr>
              <w:t>konz</w:t>
            </w:r>
            <w:proofErr w:type="spellEnd"/>
            <w:r>
              <w:rPr>
                <w:sz w:val="20"/>
              </w:rPr>
              <w:t>. Salzsäure</w:t>
            </w:r>
          </w:p>
        </w:tc>
        <w:tc>
          <w:tcPr>
            <w:tcW w:w="2835" w:type="dxa"/>
            <w:gridSpan w:val="3"/>
            <w:tcBorders>
              <w:top w:val="single" w:sz="8" w:space="0" w:color="4F81BD"/>
              <w:left w:val="nil"/>
              <w:bottom w:val="single" w:sz="8" w:space="0" w:color="4F81BD"/>
              <w:right w:val="nil"/>
            </w:tcBorders>
            <w:vAlign w:val="center"/>
            <w:hideMark/>
          </w:tcPr>
          <w:p w:rsidR="000150C3" w:rsidRDefault="000150C3" w:rsidP="00F52525">
            <w:pPr>
              <w:spacing w:after="0"/>
              <w:jc w:val="center"/>
              <w:rPr>
                <w:sz w:val="20"/>
              </w:rPr>
            </w:pPr>
            <w:r>
              <w:rPr>
                <w:sz w:val="20"/>
              </w:rPr>
              <w:t>H: 314-335-290</w:t>
            </w:r>
          </w:p>
        </w:tc>
        <w:tc>
          <w:tcPr>
            <w:tcW w:w="3678" w:type="dxa"/>
            <w:gridSpan w:val="3"/>
            <w:tcBorders>
              <w:top w:val="single" w:sz="8" w:space="0" w:color="4F81BD"/>
              <w:left w:val="nil"/>
              <w:bottom w:val="single" w:sz="8" w:space="0" w:color="4F81BD"/>
              <w:right w:val="single" w:sz="8" w:space="0" w:color="4F81BD"/>
            </w:tcBorders>
            <w:vAlign w:val="center"/>
            <w:hideMark/>
          </w:tcPr>
          <w:p w:rsidR="000150C3" w:rsidRDefault="000150C3" w:rsidP="00F52525">
            <w:pPr>
              <w:spacing w:after="0"/>
              <w:jc w:val="center"/>
              <w:rPr>
                <w:sz w:val="20"/>
              </w:rPr>
            </w:pPr>
            <w:r>
              <w:rPr>
                <w:sz w:val="20"/>
              </w:rPr>
              <w:t>P: 234-260-305+351+338-303+361+353-304+340-308+311-501.1</w:t>
            </w:r>
          </w:p>
        </w:tc>
      </w:tr>
      <w:tr w:rsidR="000150C3" w:rsidTr="00F52525">
        <w:trPr>
          <w:trHeight w:val="434"/>
        </w:trPr>
        <w:tc>
          <w:tcPr>
            <w:tcW w:w="2802" w:type="dxa"/>
            <w:gridSpan w:val="3"/>
            <w:tcBorders>
              <w:top w:val="nil"/>
              <w:left w:val="single" w:sz="8" w:space="0" w:color="4F81BD"/>
              <w:bottom w:val="nil"/>
              <w:right w:val="nil"/>
            </w:tcBorders>
            <w:vAlign w:val="center"/>
            <w:hideMark/>
          </w:tcPr>
          <w:p w:rsidR="000150C3" w:rsidRDefault="000150C3" w:rsidP="00F52525">
            <w:pPr>
              <w:spacing w:after="0" w:line="276" w:lineRule="auto"/>
              <w:jc w:val="center"/>
              <w:rPr>
                <w:bCs/>
                <w:sz w:val="20"/>
              </w:rPr>
            </w:pPr>
            <w:r>
              <w:rPr>
                <w:color w:val="auto"/>
                <w:sz w:val="20"/>
                <w:szCs w:val="20"/>
              </w:rPr>
              <w:t>Zinkpulver</w:t>
            </w:r>
          </w:p>
        </w:tc>
        <w:tc>
          <w:tcPr>
            <w:tcW w:w="2835" w:type="dxa"/>
            <w:gridSpan w:val="3"/>
            <w:tcBorders>
              <w:top w:val="nil"/>
              <w:left w:val="nil"/>
              <w:bottom w:val="nil"/>
              <w:right w:val="nil"/>
            </w:tcBorders>
            <w:vAlign w:val="center"/>
            <w:hideMark/>
          </w:tcPr>
          <w:p w:rsidR="000150C3" w:rsidRDefault="000150C3" w:rsidP="00F52525">
            <w:pPr>
              <w:spacing w:after="0"/>
              <w:jc w:val="center"/>
              <w:rPr>
                <w:sz w:val="20"/>
              </w:rPr>
            </w:pPr>
            <w:r>
              <w:rPr>
                <w:sz w:val="20"/>
              </w:rPr>
              <w:t>H: 260-250-410</w:t>
            </w:r>
          </w:p>
        </w:tc>
        <w:tc>
          <w:tcPr>
            <w:tcW w:w="3678" w:type="dxa"/>
            <w:gridSpan w:val="3"/>
            <w:tcBorders>
              <w:top w:val="nil"/>
              <w:left w:val="nil"/>
              <w:bottom w:val="nil"/>
              <w:right w:val="single" w:sz="8" w:space="0" w:color="4F81BD"/>
            </w:tcBorders>
            <w:vAlign w:val="center"/>
            <w:hideMark/>
          </w:tcPr>
          <w:p w:rsidR="000150C3" w:rsidRDefault="000150C3" w:rsidP="00F52525">
            <w:pPr>
              <w:spacing w:after="0"/>
              <w:jc w:val="center"/>
              <w:rPr>
                <w:sz w:val="20"/>
              </w:rPr>
            </w:pPr>
            <w:r>
              <w:rPr>
                <w:sz w:val="20"/>
              </w:rPr>
              <w:t>P: 222-223-231+231-273-370+378-422</w:t>
            </w:r>
          </w:p>
        </w:tc>
      </w:tr>
      <w:tr w:rsidR="000150C3" w:rsidTr="00F52525">
        <w:trPr>
          <w:trHeight w:val="1021"/>
        </w:trPr>
        <w:tc>
          <w:tcPr>
            <w:tcW w:w="1009" w:type="dxa"/>
            <w:tcBorders>
              <w:top w:val="single" w:sz="8" w:space="0" w:color="4F81BD"/>
              <w:left w:val="single" w:sz="8" w:space="0" w:color="4F81BD"/>
              <w:bottom w:val="single" w:sz="8" w:space="0" w:color="4F81BD"/>
              <w:right w:val="nil"/>
            </w:tcBorders>
            <w:vAlign w:val="center"/>
            <w:hideMark/>
          </w:tcPr>
          <w:p w:rsidR="000150C3" w:rsidRDefault="000150C3" w:rsidP="00F52525">
            <w:pPr>
              <w:spacing w:after="0"/>
              <w:jc w:val="center"/>
              <w:rPr>
                <w:b/>
                <w:bCs/>
              </w:rPr>
            </w:pPr>
            <w:r>
              <w:rPr>
                <w:noProof/>
                <w:lang w:eastAsia="de-DE"/>
              </w:rPr>
              <w:drawing>
                <wp:anchor distT="0" distB="0" distL="114300" distR="114300" simplePos="0" relativeHeight="251668480" behindDoc="0" locked="0" layoutInCell="1" allowOverlap="1" wp14:anchorId="0A676B15" wp14:editId="3C83CB83">
                  <wp:simplePos x="0" y="0"/>
                  <wp:positionH relativeFrom="column">
                    <wp:posOffset>3810</wp:posOffset>
                  </wp:positionH>
                  <wp:positionV relativeFrom="paragraph">
                    <wp:posOffset>34290</wp:posOffset>
                  </wp:positionV>
                  <wp:extent cx="504190" cy="50419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pic:spPr>
                      </pic:pic>
                    </a:graphicData>
                  </a:graphic>
                </wp:anchor>
              </w:drawing>
            </w:r>
          </w:p>
        </w:tc>
        <w:tc>
          <w:tcPr>
            <w:tcW w:w="1009" w:type="dxa"/>
            <w:tcBorders>
              <w:top w:val="single" w:sz="8" w:space="0" w:color="4F81BD"/>
              <w:left w:val="nil"/>
              <w:bottom w:val="single" w:sz="8" w:space="0" w:color="4F81BD"/>
              <w:right w:val="nil"/>
            </w:tcBorders>
            <w:vAlign w:val="center"/>
            <w:hideMark/>
          </w:tcPr>
          <w:p w:rsidR="000150C3" w:rsidRDefault="000150C3" w:rsidP="00F52525">
            <w:pPr>
              <w:spacing w:after="0"/>
              <w:jc w:val="center"/>
            </w:pPr>
            <w:r>
              <w:rPr>
                <w:noProof/>
                <w:lang w:eastAsia="de-DE"/>
              </w:rPr>
              <w:drawing>
                <wp:anchor distT="0" distB="0" distL="114300" distR="114300" simplePos="0" relativeHeight="251667456" behindDoc="0" locked="0" layoutInCell="1" allowOverlap="1" wp14:anchorId="272333FD" wp14:editId="0C8E2AC2">
                  <wp:simplePos x="0" y="0"/>
                  <wp:positionH relativeFrom="column">
                    <wp:posOffset>5715</wp:posOffset>
                  </wp:positionH>
                  <wp:positionV relativeFrom="paragraph">
                    <wp:posOffset>50800</wp:posOffset>
                  </wp:positionV>
                  <wp:extent cx="505460" cy="518160"/>
                  <wp:effectExtent l="19050" t="0" r="8890" b="0"/>
                  <wp:wrapNone/>
                  <wp:docPr id="47" name="Grafik 47" descr="C:\Users\Kristina\Desktop\SVP Chemie\Piktogramme\Brandfördernd.png"/>
                  <wp:cNvGraphicFramePr/>
                  <a:graphic xmlns:a="http://schemas.openxmlformats.org/drawingml/2006/main">
                    <a:graphicData uri="http://schemas.openxmlformats.org/drawingml/2006/picture">
                      <pic:pic xmlns:pic="http://schemas.openxmlformats.org/drawingml/2006/picture">
                        <pic:nvPicPr>
                          <pic:cNvPr id="10" name="Grafik 10" descr="C:\Users\Kristina\Desktop\SVP Chemie\Piktogramme\Brandfördernd.png"/>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5460" cy="518160"/>
                          </a:xfrm>
                          <a:prstGeom prst="rect">
                            <a:avLst/>
                          </a:prstGeom>
                          <a:noFill/>
                          <a:ln>
                            <a:noFill/>
                          </a:ln>
                        </pic:spPr>
                      </pic:pic>
                    </a:graphicData>
                  </a:graphic>
                </wp:anchor>
              </w:drawing>
            </w:r>
          </w:p>
        </w:tc>
        <w:tc>
          <w:tcPr>
            <w:tcW w:w="784" w:type="dxa"/>
            <w:tcBorders>
              <w:top w:val="single" w:sz="8" w:space="0" w:color="4F81BD"/>
              <w:left w:val="nil"/>
              <w:bottom w:val="single" w:sz="8" w:space="0" w:color="4F81BD"/>
              <w:right w:val="nil"/>
            </w:tcBorders>
            <w:vAlign w:val="center"/>
            <w:hideMark/>
          </w:tcPr>
          <w:p w:rsidR="000150C3" w:rsidRDefault="000150C3" w:rsidP="00F52525">
            <w:pPr>
              <w:spacing w:after="0"/>
              <w:jc w:val="center"/>
            </w:pPr>
            <w:r>
              <w:rPr>
                <w:noProof/>
                <w:lang w:eastAsia="de-DE"/>
              </w:rPr>
              <w:drawing>
                <wp:anchor distT="0" distB="0" distL="114300" distR="114300" simplePos="0" relativeHeight="251666432" behindDoc="0" locked="0" layoutInCell="1" allowOverlap="1" wp14:anchorId="450B10A5" wp14:editId="548A5E4F">
                  <wp:simplePos x="0" y="0"/>
                  <wp:positionH relativeFrom="column">
                    <wp:posOffset>5715</wp:posOffset>
                  </wp:positionH>
                  <wp:positionV relativeFrom="paragraph">
                    <wp:posOffset>50165</wp:posOffset>
                  </wp:positionV>
                  <wp:extent cx="509270" cy="518160"/>
                  <wp:effectExtent l="19050" t="0" r="5080" b="0"/>
                  <wp:wrapNone/>
                  <wp:docPr id="46" name="Grafik 46" descr="Beschreibung: 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Beschreibung: C:\Users\Kristina\Desktop\SVP Chemie\Piktogramme\Brennba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270" cy="518160"/>
                          </a:xfrm>
                          <a:prstGeom prst="rect">
                            <a:avLst/>
                          </a:prstGeom>
                          <a:noFill/>
                        </pic:spPr>
                      </pic:pic>
                    </a:graphicData>
                  </a:graphic>
                </wp:anchor>
              </w:drawing>
            </w:r>
          </w:p>
        </w:tc>
        <w:tc>
          <w:tcPr>
            <w:tcW w:w="1232" w:type="dxa"/>
            <w:tcBorders>
              <w:top w:val="single" w:sz="8" w:space="0" w:color="4F81BD"/>
              <w:left w:val="nil"/>
              <w:bottom w:val="single" w:sz="8" w:space="0" w:color="4F81BD"/>
              <w:right w:val="nil"/>
            </w:tcBorders>
            <w:vAlign w:val="center"/>
            <w:hideMark/>
          </w:tcPr>
          <w:p w:rsidR="000150C3" w:rsidRDefault="000150C3" w:rsidP="00F52525">
            <w:pPr>
              <w:spacing w:after="0"/>
              <w:jc w:val="center"/>
            </w:pPr>
            <w:r>
              <w:rPr>
                <w:noProof/>
                <w:lang w:eastAsia="de-DE"/>
              </w:rPr>
              <w:drawing>
                <wp:anchor distT="0" distB="0" distL="114300" distR="114300" simplePos="0" relativeHeight="251665408" behindDoc="0" locked="0" layoutInCell="1" allowOverlap="1" wp14:anchorId="5B50EAC4" wp14:editId="4A4B5AE3">
                  <wp:simplePos x="0" y="0"/>
                  <wp:positionH relativeFrom="column">
                    <wp:posOffset>182880</wp:posOffset>
                  </wp:positionH>
                  <wp:positionV relativeFrom="paragraph">
                    <wp:posOffset>50800</wp:posOffset>
                  </wp:positionV>
                  <wp:extent cx="499110" cy="518160"/>
                  <wp:effectExtent l="19050" t="0" r="0" b="0"/>
                  <wp:wrapNone/>
                  <wp:docPr id="45" name="Grafik 45" descr="C:\Users\Kristina\Desktop\SVP Chemie\Piktogramme\Explosionsgefahr.png"/>
                  <wp:cNvGraphicFramePr/>
                  <a:graphic xmlns:a="http://schemas.openxmlformats.org/drawingml/2006/main">
                    <a:graphicData uri="http://schemas.openxmlformats.org/drawingml/2006/picture">
                      <pic:pic xmlns:pic="http://schemas.openxmlformats.org/drawingml/2006/picture">
                        <pic:nvPicPr>
                          <pic:cNvPr id="8" name="Grafik 8" descr="C:\Users\Kristina\Desktop\SVP Chemie\Piktogramme\Explosionsgefahr.png"/>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99110" cy="518160"/>
                          </a:xfrm>
                          <a:prstGeom prst="rect">
                            <a:avLst/>
                          </a:prstGeom>
                          <a:noFill/>
                          <a:ln>
                            <a:noFill/>
                          </a:ln>
                        </pic:spPr>
                      </pic:pic>
                    </a:graphicData>
                  </a:graphic>
                </wp:anchor>
              </w:drawing>
            </w:r>
          </w:p>
        </w:tc>
        <w:tc>
          <w:tcPr>
            <w:tcW w:w="1174" w:type="dxa"/>
            <w:tcBorders>
              <w:top w:val="single" w:sz="8" w:space="0" w:color="4F81BD"/>
              <w:left w:val="nil"/>
              <w:bottom w:val="single" w:sz="8" w:space="0" w:color="4F81BD"/>
              <w:right w:val="nil"/>
            </w:tcBorders>
            <w:vAlign w:val="center"/>
            <w:hideMark/>
          </w:tcPr>
          <w:p w:rsidR="000150C3" w:rsidRDefault="000150C3" w:rsidP="00F52525">
            <w:pPr>
              <w:spacing w:after="0"/>
              <w:jc w:val="center"/>
            </w:pPr>
            <w:r>
              <w:rPr>
                <w:noProof/>
                <w:lang w:eastAsia="de-DE"/>
              </w:rPr>
              <w:drawing>
                <wp:anchor distT="0" distB="0" distL="114300" distR="114300" simplePos="0" relativeHeight="251664384" behindDoc="0" locked="0" layoutInCell="1" allowOverlap="1" wp14:anchorId="47EA8FB4" wp14:editId="0C97D30C">
                  <wp:simplePos x="0" y="0"/>
                  <wp:positionH relativeFrom="column">
                    <wp:posOffset>46355</wp:posOffset>
                  </wp:positionH>
                  <wp:positionV relativeFrom="paragraph">
                    <wp:posOffset>23495</wp:posOffset>
                  </wp:positionV>
                  <wp:extent cx="511810" cy="511810"/>
                  <wp:effectExtent l="0" t="0" r="2540" b="2540"/>
                  <wp:wrapNone/>
                  <wp:docPr id="44" name="Grafik 44" descr="C:\Users\Kristina\Desktop\SVP Chemie\Piktogramme\Gasflasche.png"/>
                  <wp:cNvGraphicFramePr/>
                  <a:graphic xmlns:a="http://schemas.openxmlformats.org/drawingml/2006/main">
                    <a:graphicData uri="http://schemas.openxmlformats.org/drawingml/2006/picture">
                      <pic:pic xmlns:pic="http://schemas.openxmlformats.org/drawingml/2006/picture">
                        <pic:nvPicPr>
                          <pic:cNvPr id="7" name="Grafik 7" descr="C:\Users\Kristina\Desktop\SVP Chemie\Piktogramme\Gasflasche.png"/>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anchor>
              </w:drawing>
            </w:r>
          </w:p>
        </w:tc>
        <w:tc>
          <w:tcPr>
            <w:tcW w:w="429" w:type="dxa"/>
            <w:tcBorders>
              <w:top w:val="single" w:sz="8" w:space="0" w:color="4F81BD"/>
              <w:left w:val="nil"/>
              <w:bottom w:val="single" w:sz="8" w:space="0" w:color="4F81BD"/>
              <w:right w:val="nil"/>
            </w:tcBorders>
            <w:vAlign w:val="center"/>
            <w:hideMark/>
          </w:tcPr>
          <w:p w:rsidR="000150C3" w:rsidRDefault="000150C3" w:rsidP="00F52525">
            <w:pPr>
              <w:spacing w:after="0"/>
              <w:jc w:val="center"/>
            </w:pPr>
            <w:r>
              <w:rPr>
                <w:noProof/>
                <w:lang w:eastAsia="de-DE"/>
              </w:rPr>
              <w:drawing>
                <wp:anchor distT="0" distB="0" distL="114300" distR="114300" simplePos="0" relativeHeight="251663360" behindDoc="0" locked="0" layoutInCell="1" allowOverlap="1" wp14:anchorId="378820FE" wp14:editId="7C667B80">
                  <wp:simplePos x="0" y="0"/>
                  <wp:positionH relativeFrom="column">
                    <wp:posOffset>-35560</wp:posOffset>
                  </wp:positionH>
                  <wp:positionV relativeFrom="paragraph">
                    <wp:posOffset>46355</wp:posOffset>
                  </wp:positionV>
                  <wp:extent cx="511810" cy="518160"/>
                  <wp:effectExtent l="19050" t="0" r="2540" b="0"/>
                  <wp:wrapNone/>
                  <wp:docPr id="43" name="Grafik 43" descr="C:\Users\Kristina\Desktop\SVP Chemie\Piktogramme\Gesundheitsgefahr.png"/>
                  <wp:cNvGraphicFramePr/>
                  <a:graphic xmlns:a="http://schemas.openxmlformats.org/drawingml/2006/main">
                    <a:graphicData uri="http://schemas.openxmlformats.org/drawingml/2006/picture">
                      <pic:pic xmlns:pic="http://schemas.openxmlformats.org/drawingml/2006/picture">
                        <pic:nvPicPr>
                          <pic:cNvPr id="6" name="Grafik 6" descr="C:\Users\Kristina\Desktop\SVP Chemie\Piktogramme\Gesundheitsgefahr.png"/>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810" cy="518160"/>
                          </a:xfrm>
                          <a:prstGeom prst="rect">
                            <a:avLst/>
                          </a:prstGeom>
                          <a:noFill/>
                          <a:ln>
                            <a:noFill/>
                          </a:ln>
                        </pic:spPr>
                      </pic:pic>
                    </a:graphicData>
                  </a:graphic>
                </wp:anchor>
              </w:drawing>
            </w:r>
          </w:p>
        </w:tc>
        <w:tc>
          <w:tcPr>
            <w:tcW w:w="1537" w:type="dxa"/>
            <w:tcBorders>
              <w:top w:val="single" w:sz="8" w:space="0" w:color="4F81BD"/>
              <w:left w:val="nil"/>
              <w:bottom w:val="single" w:sz="8" w:space="0" w:color="4F81BD"/>
              <w:right w:val="nil"/>
            </w:tcBorders>
            <w:vAlign w:val="center"/>
            <w:hideMark/>
          </w:tcPr>
          <w:p w:rsidR="000150C3" w:rsidRDefault="000150C3" w:rsidP="00F52525">
            <w:pPr>
              <w:spacing w:after="0"/>
              <w:jc w:val="center"/>
            </w:pPr>
            <w:r>
              <w:rPr>
                <w:noProof/>
                <w:lang w:eastAsia="de-DE"/>
              </w:rPr>
              <w:drawing>
                <wp:anchor distT="0" distB="0" distL="114300" distR="114300" simplePos="0" relativeHeight="251662336" behindDoc="0" locked="0" layoutInCell="1" allowOverlap="1" wp14:anchorId="029CC56E" wp14:editId="534EBE0A">
                  <wp:simplePos x="0" y="0"/>
                  <wp:positionH relativeFrom="column">
                    <wp:posOffset>346710</wp:posOffset>
                  </wp:positionH>
                  <wp:positionV relativeFrom="paragraph">
                    <wp:posOffset>22860</wp:posOffset>
                  </wp:positionV>
                  <wp:extent cx="505460" cy="518160"/>
                  <wp:effectExtent l="19050" t="0" r="8890" b="0"/>
                  <wp:wrapNone/>
                  <wp:docPr id="42" name="Grafik 42" descr="C:\Users\Kristina\Desktop\SVP Chemie\Piktogramme\Giftig.png"/>
                  <wp:cNvGraphicFramePr/>
                  <a:graphic xmlns:a="http://schemas.openxmlformats.org/drawingml/2006/main">
                    <a:graphicData uri="http://schemas.openxmlformats.org/drawingml/2006/picture">
                      <pic:pic xmlns:pic="http://schemas.openxmlformats.org/drawingml/2006/picture">
                        <pic:nvPicPr>
                          <pic:cNvPr id="3" name="Grafik 3" descr="C:\Users\Kristina\Desktop\SVP Chemie\Piktogramme\Giftig.png"/>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5460" cy="518160"/>
                          </a:xfrm>
                          <a:prstGeom prst="rect">
                            <a:avLst/>
                          </a:prstGeom>
                          <a:noFill/>
                          <a:ln>
                            <a:noFill/>
                          </a:ln>
                        </pic:spPr>
                      </pic:pic>
                    </a:graphicData>
                  </a:graphic>
                </wp:anchor>
              </w:drawing>
            </w:r>
          </w:p>
        </w:tc>
        <w:tc>
          <w:tcPr>
            <w:tcW w:w="1008" w:type="dxa"/>
            <w:tcBorders>
              <w:top w:val="single" w:sz="8" w:space="0" w:color="4F81BD"/>
              <w:left w:val="nil"/>
              <w:bottom w:val="single" w:sz="8" w:space="0" w:color="4F81BD"/>
              <w:right w:val="nil"/>
            </w:tcBorders>
            <w:vAlign w:val="center"/>
            <w:hideMark/>
          </w:tcPr>
          <w:p w:rsidR="000150C3" w:rsidRDefault="000150C3" w:rsidP="00F52525">
            <w:pPr>
              <w:spacing w:after="0"/>
              <w:jc w:val="center"/>
            </w:pPr>
            <w:r>
              <w:rPr>
                <w:noProof/>
                <w:lang w:eastAsia="de-DE"/>
              </w:rPr>
              <w:drawing>
                <wp:anchor distT="0" distB="0" distL="114300" distR="114300" simplePos="0" relativeHeight="251660288" behindDoc="0" locked="0" layoutInCell="1" allowOverlap="1" wp14:anchorId="0EDD5E81" wp14:editId="5D7F2F50">
                  <wp:simplePos x="0" y="0"/>
                  <wp:positionH relativeFrom="column">
                    <wp:posOffset>-3810</wp:posOffset>
                  </wp:positionH>
                  <wp:positionV relativeFrom="paragraph">
                    <wp:posOffset>23495</wp:posOffset>
                  </wp:positionV>
                  <wp:extent cx="511175" cy="511175"/>
                  <wp:effectExtent l="0" t="0" r="3175" b="3175"/>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pic:spPr>
                      </pic:pic>
                    </a:graphicData>
                  </a:graphic>
                </wp:anchor>
              </w:drawing>
            </w:r>
          </w:p>
        </w:tc>
        <w:tc>
          <w:tcPr>
            <w:tcW w:w="1133" w:type="dxa"/>
            <w:tcBorders>
              <w:top w:val="single" w:sz="8" w:space="0" w:color="4F81BD"/>
              <w:left w:val="nil"/>
              <w:bottom w:val="single" w:sz="8" w:space="0" w:color="4F81BD"/>
              <w:right w:val="single" w:sz="8" w:space="0" w:color="4F81BD"/>
            </w:tcBorders>
            <w:vAlign w:val="center"/>
            <w:hideMark/>
          </w:tcPr>
          <w:p w:rsidR="000150C3" w:rsidRDefault="000150C3" w:rsidP="00F52525">
            <w:pPr>
              <w:spacing w:after="0"/>
              <w:jc w:val="center"/>
            </w:pPr>
            <w:r>
              <w:rPr>
                <w:noProof/>
                <w:lang w:eastAsia="de-DE"/>
              </w:rPr>
              <w:drawing>
                <wp:anchor distT="0" distB="0" distL="114300" distR="114300" simplePos="0" relativeHeight="251661312" behindDoc="0" locked="0" layoutInCell="1" allowOverlap="1" wp14:anchorId="7346EF98" wp14:editId="03628AC4">
                  <wp:simplePos x="0" y="0"/>
                  <wp:positionH relativeFrom="column">
                    <wp:posOffset>35560</wp:posOffset>
                  </wp:positionH>
                  <wp:positionV relativeFrom="paragraph">
                    <wp:posOffset>23495</wp:posOffset>
                  </wp:positionV>
                  <wp:extent cx="511175" cy="511175"/>
                  <wp:effectExtent l="0" t="0" r="3175" b="3175"/>
                  <wp:wrapNone/>
                  <wp:docPr id="40" name="Grafik 40" descr="Beschreibung: 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C:\Users\Kristina\Desktop\SVP Chemie\Piktogramme\Umweltgefah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pic:spPr>
                      </pic:pic>
                    </a:graphicData>
                  </a:graphic>
                </wp:anchor>
              </w:drawing>
            </w:r>
          </w:p>
        </w:tc>
      </w:tr>
    </w:tbl>
    <w:p w:rsidR="000150C3" w:rsidRDefault="000150C3" w:rsidP="000150C3">
      <w:pPr>
        <w:tabs>
          <w:tab w:val="left" w:pos="1701"/>
          <w:tab w:val="left" w:pos="1985"/>
        </w:tabs>
      </w:pPr>
    </w:p>
    <w:p w:rsidR="000150C3" w:rsidRDefault="000150C3" w:rsidP="000150C3">
      <w:pPr>
        <w:tabs>
          <w:tab w:val="left" w:pos="1701"/>
          <w:tab w:val="left" w:pos="1985"/>
        </w:tabs>
        <w:ind w:left="1980" w:hanging="1980"/>
      </w:pPr>
      <w:r>
        <w:t xml:space="preserve">Materialien: </w:t>
      </w:r>
      <w:r>
        <w:tab/>
      </w:r>
      <w:r>
        <w:tab/>
        <w:t>Messzylinder, 2 Bechergläser 100 </w:t>
      </w:r>
      <w:proofErr w:type="spellStart"/>
      <w:r>
        <w:t>mL</w:t>
      </w:r>
      <w:proofErr w:type="spellEnd"/>
      <w:r>
        <w:t>, Ziegelzange, Glasstab, Gasbrenner, Papiertücher, Kupfermünze, Dreifuß mit Drahtnetz</w:t>
      </w:r>
    </w:p>
    <w:p w:rsidR="000150C3" w:rsidRDefault="000150C3" w:rsidP="000150C3">
      <w:pPr>
        <w:tabs>
          <w:tab w:val="left" w:pos="1701"/>
          <w:tab w:val="left" w:pos="1985"/>
        </w:tabs>
        <w:ind w:left="1980" w:hanging="1980"/>
      </w:pPr>
      <w:r>
        <w:t>Chemikalien:</w:t>
      </w:r>
      <w:r>
        <w:tab/>
      </w:r>
      <w:r>
        <w:tab/>
        <w:t xml:space="preserve">Ethanol, </w:t>
      </w:r>
      <w:proofErr w:type="spellStart"/>
      <w:r>
        <w:t>konz</w:t>
      </w:r>
      <w:proofErr w:type="spellEnd"/>
      <w:r>
        <w:t xml:space="preserve">. Natriumhydroxid, </w:t>
      </w:r>
      <w:proofErr w:type="spellStart"/>
      <w:r>
        <w:t>konz</w:t>
      </w:r>
      <w:proofErr w:type="spellEnd"/>
      <w:r>
        <w:t xml:space="preserve">. Salzsäure, Zinkpulver, </w:t>
      </w:r>
      <w:proofErr w:type="spellStart"/>
      <w:r>
        <w:t>dest</w:t>
      </w:r>
      <w:proofErr w:type="spellEnd"/>
      <w:r>
        <w:t>. Wasser</w:t>
      </w:r>
    </w:p>
    <w:p w:rsidR="000150C3" w:rsidRDefault="000150C3" w:rsidP="000150C3">
      <w:pPr>
        <w:tabs>
          <w:tab w:val="left" w:pos="1701"/>
          <w:tab w:val="left" w:pos="1985"/>
        </w:tabs>
        <w:ind w:left="1980" w:hanging="1980"/>
      </w:pPr>
      <w:r>
        <w:t xml:space="preserve">Durchführung: </w:t>
      </w:r>
      <w:r>
        <w:tab/>
      </w:r>
      <w:r>
        <w:tab/>
      </w:r>
      <w:r>
        <w:tab/>
        <w:t xml:space="preserve">Die Kupfermünze wird zunächst mit einem Taschentuch und etwas Ethanol gereinigt. Anschließend wird sie in ein Becherglas gelegt, welche </w:t>
      </w:r>
      <w:proofErr w:type="spellStart"/>
      <w:r>
        <w:t>konz</w:t>
      </w:r>
      <w:proofErr w:type="spellEnd"/>
      <w:r>
        <w:t>. Salzsäure enthält. Kupferoxid, welches sich auf der Kupfermünze befindet, wird dabei entfernt. Mit einer Tiegelzange wird die Münze aus dem Becherglas geholt und gründlich mit destillierten Wasser abgespült. In das zweite Becherglas werden 20 </w:t>
      </w:r>
      <w:proofErr w:type="spellStart"/>
      <w:r>
        <w:t>mL</w:t>
      </w:r>
      <w:proofErr w:type="spellEnd"/>
      <w:r>
        <w:t xml:space="preserve"> einer konzentrierten Natrium-</w:t>
      </w:r>
      <w:proofErr w:type="spellStart"/>
      <w:r>
        <w:t>hydroxidlösung</w:t>
      </w:r>
      <w:proofErr w:type="spellEnd"/>
      <w:r>
        <w:t xml:space="preserve"> und zwei Spatelspitzen Zinkpulver vermengt und mit einem Glasstab umgerührt. Die Kupfermünze wird in diese Lösung gelegt, welche über einem Gasbrenner unter Rühren erhitzt wird. Wenn eine Farbveränderung bei der Münze eintritt wird sie herausgeholt und mit destilliertem Wasser abgewaschen. Anschließend wird sie mit einer </w:t>
      </w:r>
      <w:r>
        <w:lastRenderedPageBreak/>
        <w:t xml:space="preserve">Ziegelzange in der Gasbrennerflamme erhitzt bis eine erneute Farbveränderung eintritt. </w:t>
      </w:r>
    </w:p>
    <w:p w:rsidR="000150C3" w:rsidRDefault="000150C3" w:rsidP="000150C3">
      <w:pPr>
        <w:tabs>
          <w:tab w:val="left" w:pos="1701"/>
          <w:tab w:val="left" w:pos="1985"/>
        </w:tabs>
        <w:ind w:left="1980" w:hanging="1980"/>
      </w:pPr>
      <w:r>
        <w:t>Beobachtung:</w:t>
      </w:r>
      <w:r>
        <w:tab/>
      </w:r>
      <w:r>
        <w:tab/>
      </w:r>
      <w:r>
        <w:tab/>
        <w:t xml:space="preserve">Nachdem die Münze gereinigt wurde und auch die Kupferoxidreste entfernt wurden, hat sie eine typische Kupferfarbe. Beim Erhitzen in der </w:t>
      </w:r>
      <w:proofErr w:type="spellStart"/>
      <w:r>
        <w:t>Natriumhydroxidlösung</w:t>
      </w:r>
      <w:proofErr w:type="spellEnd"/>
      <w:r>
        <w:t xml:space="preserve"> mit Zinkpulver hat die Münze eine graue Färbung bekommen. Nachdem noch weiter erhitzt wurde änderte sich diese Farbe zu einem Goldton (siehe Abbildung 2).</w:t>
      </w:r>
    </w:p>
    <w:p w:rsidR="000150C3" w:rsidRDefault="000150C3" w:rsidP="000150C3">
      <w:pPr>
        <w:keepNext/>
        <w:tabs>
          <w:tab w:val="left" w:pos="1701"/>
          <w:tab w:val="left" w:pos="1985"/>
        </w:tabs>
        <w:ind w:left="1980" w:hanging="1980"/>
        <w:jc w:val="center"/>
      </w:pPr>
      <w:r>
        <w:rPr>
          <w:noProof/>
          <w:lang w:eastAsia="de-DE"/>
        </w:rPr>
        <w:drawing>
          <wp:inline distT="0" distB="0" distL="0" distR="0" wp14:anchorId="76722E15" wp14:editId="155ED444">
            <wp:extent cx="3752850" cy="933450"/>
            <wp:effectExtent l="19050" t="19050" r="19050" b="1905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2850" cy="933450"/>
                    </a:xfrm>
                    <a:prstGeom prst="rect">
                      <a:avLst/>
                    </a:prstGeom>
                    <a:noFill/>
                    <a:ln w="9525" cmpd="sng">
                      <a:solidFill>
                        <a:srgbClr val="000000"/>
                      </a:solidFill>
                      <a:miter lim="800000"/>
                      <a:headEnd/>
                      <a:tailEnd/>
                    </a:ln>
                    <a:effectLst/>
                  </pic:spPr>
                </pic:pic>
              </a:graphicData>
            </a:graphic>
          </wp:inline>
        </w:drawing>
      </w:r>
    </w:p>
    <w:p w:rsidR="000150C3" w:rsidRDefault="000150C3" w:rsidP="000150C3">
      <w:pPr>
        <w:pStyle w:val="Beschriftung"/>
        <w:jc w:val="center"/>
      </w:pPr>
      <w:r>
        <w:t xml:space="preserve">Abbildung 2 - (rechts nach links) unbehandelte Kupfermünze, gereinigte Kupfermünze, Kupfermünze nach Reaktion mit der </w:t>
      </w:r>
      <w:proofErr w:type="spellStart"/>
      <w:r>
        <w:t>Natriumhydroxidlösung</w:t>
      </w:r>
      <w:proofErr w:type="spellEnd"/>
      <w:r>
        <w:t xml:space="preserve"> und Zinkpulver, erhitze Kupfermünze.</w:t>
      </w:r>
    </w:p>
    <w:p w:rsidR="000150C3" w:rsidRDefault="000150C3" w:rsidP="000150C3">
      <w:pPr>
        <w:tabs>
          <w:tab w:val="left" w:pos="1701"/>
          <w:tab w:val="left" w:pos="1985"/>
        </w:tabs>
        <w:ind w:left="1985" w:hanging="1985"/>
      </w:pPr>
      <w:r>
        <w:t>Deutung:</w:t>
      </w:r>
      <w:r>
        <w:tab/>
      </w:r>
      <w:r>
        <w:tab/>
        <w:t xml:space="preserve">Durch die </w:t>
      </w:r>
      <w:proofErr w:type="spellStart"/>
      <w:r>
        <w:t>Natriumhydroxidlösung</w:t>
      </w:r>
      <w:proofErr w:type="spellEnd"/>
      <w:r>
        <w:t xml:space="preserve"> wurde die Zinkoxidschicht zersetzt. Das Zink bildet auf dem Kupfer einen Niederschlag. Bei dem weiteren Erhitzen entsteht durch das Kupfer der Münze und dem Zink eine Messinglegierung. Dieser Prozess wird durch das Erhitzen lediglich beschleunigt. </w:t>
      </w:r>
    </w:p>
    <w:p w:rsidR="000150C3" w:rsidRPr="00935AB8" w:rsidRDefault="000150C3" w:rsidP="000150C3">
      <w:pPr>
        <w:tabs>
          <w:tab w:val="left" w:pos="1701"/>
          <w:tab w:val="left" w:pos="1985"/>
        </w:tabs>
        <w:ind w:left="1985" w:hanging="1985"/>
      </w:pPr>
      <w:r>
        <w:t>Entsorgung:</w:t>
      </w:r>
      <w:r>
        <w:tab/>
      </w:r>
      <w:r>
        <w:tab/>
        <w:t xml:space="preserve">Die Reste der Suspension und das Wasser vom Abspülen werden im Behälter </w:t>
      </w:r>
      <w:r w:rsidRPr="00935AB8">
        <w:t>für Schwermetallabfälle entsorgt.</w:t>
      </w:r>
    </w:p>
    <w:p w:rsidR="000150C3" w:rsidRDefault="000150C3" w:rsidP="000150C3">
      <w:pPr>
        <w:spacing w:line="276" w:lineRule="auto"/>
        <w:ind w:left="1980" w:hanging="1980"/>
        <w:jc w:val="left"/>
        <w:rPr>
          <w:rFonts w:asciiTheme="majorHAnsi" w:hAnsiTheme="majorHAnsi"/>
        </w:rPr>
      </w:pPr>
      <w:r w:rsidRPr="00935AB8">
        <w:t>Literatur:</w:t>
      </w:r>
      <w:r w:rsidRPr="00935AB8">
        <w:tab/>
      </w:r>
      <w:r w:rsidRPr="00935AB8">
        <w:rPr>
          <w:color w:val="auto"/>
        </w:rPr>
        <w:t>angelehnt an Prof. R. Blume, http://www.chemieunterricht.de/dc2/ti</w:t>
      </w:r>
      <w:bookmarkStart w:id="2" w:name="_GoBack"/>
      <w:bookmarkEnd w:id="2"/>
      <w:r w:rsidRPr="00935AB8">
        <w:rPr>
          <w:color w:val="auto"/>
        </w:rPr>
        <w:t>p/11_98.htm, 09.04.2015 (Zuletzt abgerufen am 27.09.2012 um</w:t>
      </w:r>
      <w:r w:rsidRPr="0032296B">
        <w:rPr>
          <w:color w:val="auto"/>
        </w:rPr>
        <w:t xml:space="preserve"> 21:15)</w:t>
      </w:r>
    </w:p>
    <w:p w:rsidR="000150C3" w:rsidRDefault="000150C3" w:rsidP="000150C3">
      <w:pPr>
        <w:spacing w:line="240" w:lineRule="auto"/>
      </w:pPr>
      <w:r>
        <w:rPr>
          <w:noProof/>
          <w:lang w:eastAsia="de-DE"/>
        </w:rPr>
        <mc:AlternateContent>
          <mc:Choice Requires="wps">
            <w:drawing>
              <wp:anchor distT="0" distB="0" distL="114300" distR="114300" simplePos="0" relativeHeight="251669504" behindDoc="1" locked="0" layoutInCell="1" allowOverlap="1">
                <wp:simplePos x="0" y="0"/>
                <wp:positionH relativeFrom="column">
                  <wp:posOffset>6985</wp:posOffset>
                </wp:positionH>
                <wp:positionV relativeFrom="paragraph">
                  <wp:posOffset>95250</wp:posOffset>
                </wp:positionV>
                <wp:extent cx="5873115" cy="1497330"/>
                <wp:effectExtent l="0" t="0" r="13335" b="26670"/>
                <wp:wrapTight wrapText="bothSides">
                  <wp:wrapPolygon edited="0">
                    <wp:start x="0" y="0"/>
                    <wp:lineTo x="0" y="21710"/>
                    <wp:lineTo x="21579" y="21710"/>
                    <wp:lineTo x="21579" y="0"/>
                    <wp:lineTo x="0" y="0"/>
                  </wp:wrapPolygon>
                </wp:wrapTight>
                <wp:docPr id="38"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9733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150C3" w:rsidRDefault="000150C3" w:rsidP="000150C3">
                            <w:pPr>
                              <w:rPr>
                                <w:color w:val="auto"/>
                              </w:rPr>
                            </w:pPr>
                            <w:r w:rsidRPr="00887F74">
                              <w:rPr>
                                <w:b/>
                                <w:color w:val="auto"/>
                              </w:rPr>
                              <w:t>Anmerkungen:</w:t>
                            </w:r>
                            <w:r>
                              <w:rPr>
                                <w:color w:val="auto"/>
                              </w:rPr>
                              <w:t xml:space="preserve"> Alternativ kann bei diesem Versuch statt Natriumhydroxid auch Kaliumhydroxid verwendet werden.</w:t>
                            </w:r>
                          </w:p>
                          <w:p w:rsidR="000150C3" w:rsidRPr="00887F74" w:rsidRDefault="000150C3" w:rsidP="000150C3">
                            <w:pPr>
                              <w:rPr>
                                <w:color w:val="auto"/>
                              </w:rPr>
                            </w:pPr>
                            <w:r w:rsidRPr="00887F74">
                              <w:rPr>
                                <w:color w:val="auto"/>
                              </w:rPr>
                              <w:t xml:space="preserve">Es sollte beachtet werden, dass das abschließende Erhitzen in der Brennerflamme nur zur </w:t>
                            </w:r>
                            <w:r>
                              <w:rPr>
                                <w:color w:val="auto"/>
                              </w:rPr>
                              <w:t>Beschleunigung der Reaktion genutzt wird und nicht, dass durch das Erhitzen erst eine Reaktion stattfindet.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8" o:spid="_x0000_s1027" type="#_x0000_t202" style="position:absolute;left:0;text-align:left;margin-left:.55pt;margin-top:7.5pt;width:462.45pt;height:117.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Yy7wIAADMGAAAOAAAAZHJzL2Uyb0RvYy54bWysVFtv2jAUfp+0/2D5nYaQQGjUUAGFadJu&#10;Ujvt2dgOsebYmW2adNP++47tQtn6sGkqSJGPL9/5zuU7V9dDK9E9N1ZoVeH0YowRV1QzofYV/ny3&#10;Hc0xso4oRqRWvMIP3OLrxetXV31X8olutGTcIABRtuy7CjfOdWWSWNrwltgL3XEFh7U2LXFgmn3C&#10;DOkBvZXJZDyeJb02rDOacmth9yYe4kXAr2tO3ce6ttwhWWHg5sLXhO/Of5PFFSn3hnSNoI80yH+w&#10;aIlQ4PQEdUMcQQcjnkG1ghptde0uqG4TXdeC8hADRJOO/4jmtiEdD7FAcmx3SpN9OVj64f6TQYJV&#10;OINKKdJCje744GouGYItyE/f2RKu3XZw0Q0rPUCdQ6y2e6fpV4uUXjdE7fnSGN03nDDgl/qXydnT&#10;iGM9yK5/rxn4IQenA9BQm9YnD9KBAB3q9HCqDXBBFDan8yJL0ylGFM7S/LLIslC9hJTH552x7g3X&#10;LfKLChsofoAn9++s83RIebzivVktBdsKKYPhG46vpUH3BFpFuhiiPLTANe6lY/+LHQP70Fdx/0gj&#10;9KyHCJ5+Q5cK9cB6UsD7v7kmlHLlJuHeC7n3Ud8Q20S+DFYxilY4EJ8UbYXnZ8H5Em4UC9JwRMi4&#10;huxJ5cnzIKuYUrAGB8uwD5UKLf9juZ2Oizybj4pimo3ybDMerebb9Wi5TmezYrNarzbpTx9gmpeN&#10;YIyrTcC0RwWm+b91+OMsiNo5afBE0LPSB4jxtmE9YsJ3RTa9nKQYDBgCvh6+pIjIPUwv6gxGRrsv&#10;wjVBer4JPYY1+92pNeYz/w/tfYYean7mOHkWW7wxQKogk8esBYV4UUR5uGE3BDEG+Xj17DR7AMkA&#10;q6ALmLSwaLT5jlEPU6vC9tuBGI6RfKtAdpdpnvsxF4x8WkzAMOcnu/MToihAVdhBBsJy7eJoPHRG&#10;7BvwFFWg9BKkWosgoidWEIk3YDKFmB6nqB9953a49TTrF78AAAD//wMAUEsDBBQABgAIAAAAIQBm&#10;TnJ+2wAAAAgBAAAPAAAAZHJzL2Rvd25yZXYueG1sTE/LTsMwELwj8Q/WInGjToJalRCnAqTeoalU&#10;uG3jJY7iRxS7beDrWU5w2hnNaHam2szOijNNsQ9eQb7IQJBvg+59p2DfbO/WIGJCr9EGTwq+KMKm&#10;vr6qsNTh4t/ovEud4BAfS1RgUhpLKWNryGFchJE8a59hcpiYTp3UE1443FlZZNlKOuw9fzA40ouh&#10;dtidnILBHp7xI+/u8+3+/dAY+tbDa6PU7c389Agi0Zz+zPBbn6tDzZ2O4eR1FJZ5zkY+S17E8kOx&#10;YnBUUCyzNci6kv8H1D8AAAD//wMAUEsBAi0AFAAGAAgAAAAhALaDOJL+AAAA4QEAABMAAAAAAAAA&#10;AAAAAAAAAAAAAFtDb250ZW50X1R5cGVzXS54bWxQSwECLQAUAAYACAAAACEAOP0h/9YAAACUAQAA&#10;CwAAAAAAAAAAAAAAAAAvAQAAX3JlbHMvLnJlbHNQSwECLQAUAAYACAAAACEAYy62Mu8CAAAzBgAA&#10;DgAAAAAAAAAAAAAAAAAuAgAAZHJzL2Uyb0RvYy54bWxQSwECLQAUAAYACAAAACEAZk5yftsAAAAI&#10;AQAADwAAAAAAAAAAAAAAAABJBQAAZHJzL2Rvd25yZXYueG1sUEsFBgAAAAAEAAQA8wAAAFEGAAAA&#10;AA==&#10;" fillcolor="white [3201]" strokecolor="#ed7d31 [3205]" strokeweight="1pt">
                <v:stroke dashstyle="dash"/>
                <v:shadow color="#868686"/>
                <v:textbox>
                  <w:txbxContent>
                    <w:p w:rsidR="000150C3" w:rsidRDefault="000150C3" w:rsidP="000150C3">
                      <w:pPr>
                        <w:rPr>
                          <w:color w:val="auto"/>
                        </w:rPr>
                      </w:pPr>
                      <w:r w:rsidRPr="00887F74">
                        <w:rPr>
                          <w:b/>
                          <w:color w:val="auto"/>
                        </w:rPr>
                        <w:t>Anmerkungen:</w:t>
                      </w:r>
                      <w:r>
                        <w:rPr>
                          <w:color w:val="auto"/>
                        </w:rPr>
                        <w:t xml:space="preserve"> Alternativ kann bei diesem Versuch statt Natriumhydroxid auch Kaliumhydroxid verwendet werden.</w:t>
                      </w:r>
                    </w:p>
                    <w:p w:rsidR="000150C3" w:rsidRPr="00887F74" w:rsidRDefault="000150C3" w:rsidP="000150C3">
                      <w:pPr>
                        <w:rPr>
                          <w:color w:val="auto"/>
                        </w:rPr>
                      </w:pPr>
                      <w:r w:rsidRPr="00887F74">
                        <w:rPr>
                          <w:color w:val="auto"/>
                        </w:rPr>
                        <w:t xml:space="preserve">Es sollte beachtet werden, dass das abschließende Erhitzen in der Brennerflamme nur zur </w:t>
                      </w:r>
                      <w:r>
                        <w:rPr>
                          <w:color w:val="auto"/>
                        </w:rPr>
                        <w:t>Beschleunigung der Reaktion genutzt wird und nicht, dass durch das Erhitzen erst eine Reaktion stattfindet.</w:t>
                      </w:r>
                    </w:p>
                  </w:txbxContent>
                </v:textbox>
                <w10:wrap type="tight"/>
              </v:shape>
            </w:pict>
          </mc:Fallback>
        </mc:AlternateContent>
      </w:r>
    </w:p>
    <w:p w:rsidR="000150C3" w:rsidRDefault="000150C3" w:rsidP="000150C3">
      <w:pPr>
        <w:tabs>
          <w:tab w:val="left" w:pos="1701"/>
          <w:tab w:val="left" w:pos="1985"/>
        </w:tabs>
        <w:ind w:left="2124" w:hanging="2124"/>
      </w:pPr>
      <w:r>
        <w:rPr>
          <w:noProof/>
          <w:lang w:eastAsia="de-DE"/>
        </w:rPr>
        <mc:AlternateContent>
          <mc:Choice Requires="wps">
            <w:drawing>
              <wp:inline distT="0" distB="0" distL="0" distR="0">
                <wp:extent cx="5873115" cy="1009015"/>
                <wp:effectExtent l="13970" t="15240" r="8890" b="1397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901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150C3" w:rsidRDefault="000150C3" w:rsidP="000150C3">
                            <w:pPr>
                              <w:rPr>
                                <w:color w:val="auto"/>
                              </w:rPr>
                            </w:pPr>
                            <w:r w:rsidRPr="00887F74">
                              <w:rPr>
                                <w:b/>
                                <w:color w:val="auto"/>
                              </w:rPr>
                              <w:t>Unterrichtsanschlüsse:</w:t>
                            </w:r>
                            <w:r>
                              <w:rPr>
                                <w:color w:val="auto"/>
                              </w:rPr>
                              <w:t xml:space="preserve"> Wenn die Unterscheidung von Reinstoffen und verschiedene Arten von Stoffgemischen gelingt, kann auf verschiedene Stoffverfahren eingegangen werden. Hierbei sollte jedoch mit einfachen Trennverfahren begonnen werden, wie dem Filtrieren oder das Sortieren.</w:t>
                            </w:r>
                          </w:p>
                          <w:p w:rsidR="000150C3" w:rsidRPr="00887F74" w:rsidRDefault="000150C3" w:rsidP="000150C3"/>
                        </w:txbxContent>
                      </wps:txbx>
                      <wps:bodyPr rot="0" vert="horz" wrap="square" lIns="91440" tIns="45720" rIns="91440" bIns="45720" anchor="t" anchorCtr="0" upright="1">
                        <a:noAutofit/>
                      </wps:bodyPr>
                    </wps:wsp>
                  </a:graphicData>
                </a:graphic>
              </wp:inline>
            </w:drawing>
          </mc:Choice>
          <mc:Fallback>
            <w:pict>
              <v:shape id="Textfeld 1" o:spid="_x0000_s1028" type="#_x0000_t202" style="width:462.45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QW7AIAADEGAAAOAAAAZHJzL2Uyb0RvYy54bWysVNtuGyEQfa/Uf0C8O3vxNVbWke3YVaX0&#10;IiVVnzGwu6gsbAF7N6367x3AdqzmoVUVW1oxMBzOXM7c3PaNRAdurNCqwNlVihFXVDOhqgJ/edwO&#10;ZhhZRxQjUite4Cdu8e3i7Zubrp3zXNdaMm4QgCg779oC18618ySxtOYNsVe65QoOS20a4sA0VcIM&#10;6QC9kUmeppOk04a1RlNuLezexUO8CPhlyan7VJaWOyQLDNxc+Jrw3flvsrgh88qQthb0SIP8B4uG&#10;CAWPnqHuiCNob8QLqEZQo60u3RXVTaLLUlAeYoBosvSPaB5q0vIQCyTHtuc02deDpR8Pnw0SDGqH&#10;kSINlOiR967kkqHMZ6dr7RycHlpwc/1K997TR2rbe02/WaT0uiaq4ktjdFdzwoBduJlcXI041oPs&#10;ug+awTNk73QA6kvTeEBIBgJ0qNLTuTJABVHYHM+mwywbY0ThLEvT6xQMYJeQ+el6a6x7x3WD/KLA&#10;Bkof4Mnh3rroenIJ9LUUbCukDIZvN76WBh0INIp0MUS5b4Br3INH4Rf7Bfahq+J+2AIaoWM9RCBl&#10;L9GlQh2wzqdw/29PE0q5cnnwe6XnfdR3xNaRL4NVjKIRDqQnRVPg2UVwvoQbxYIwHBEyriFCqTx5&#10;HkQVUwpW72AZ9qFSoeF/LrfjdDoazgbT6Xg4GA036WA1264Hy3U2mUw3q/Vqk/3yAWajeS0Y42oT&#10;MO1Jf9no3/r7OAmics4KPBP0rPQeYnyoWYeY8F0xHF/n0OhMwAjw9fAlRURWMLuoMxgZ7b4KVwfh&#10;+Sb0GNZUu3NrzCb+f2y9M3qo+cXDyYvYokcPqYJMnrIWFOJFEeXh+l0fpJh7fK+enWZPIBlgFXQB&#10;cxYWtTY/MOpgZhXYft8TwzGS7xXI7jobjfyQC8ZoPM3BMJcnu8sToihAFdhBBsJy7eJg3LdGVDW8&#10;FFWg9BKkWoogomdWEIk3YC6FmI4z1A++Szt4PU/6xW8AAAD//wMAUEsDBBQABgAIAAAAIQAQ4MIT&#10;2wAAAAUBAAAPAAAAZHJzL2Rvd25yZXYueG1sTI/NTsMwEITvSLyDtUjcqJPyoyaNUwFS79BUKty2&#10;8TaOEttR7LaBp2fhUi4jrWY0822xmmwvTjSG1jsF6SwBQa72unWNgm21vluACBGdxt47UvBFAVbl&#10;9VWBufZn906nTWwEl7iQowIT45BLGWpDFsPMD+TYO/jRYuRzbKQe8czltpfzJHmSFlvHCwYHejVU&#10;d5ujVdD1uxf8TJv7dL392FWGvnX3Vil1ezM9L0FEmuIlDL/4jA4lM+390ekgegX8SPxT9rL5QwZi&#10;z6HHRQayLOR/+vIHAAD//wMAUEsBAi0AFAAGAAgAAAAhALaDOJL+AAAA4QEAABMAAAAAAAAAAAAA&#10;AAAAAAAAAFtDb250ZW50X1R5cGVzXS54bWxQSwECLQAUAAYACAAAACEAOP0h/9YAAACUAQAACwAA&#10;AAAAAAAAAAAAAAAvAQAAX3JlbHMvLnJlbHNQSwECLQAUAAYACAAAACEAE4AUFuwCAAAxBgAADgAA&#10;AAAAAAAAAAAAAAAuAgAAZHJzL2Uyb0RvYy54bWxQSwECLQAUAAYACAAAACEAEODCE9sAAAAFAQAA&#10;DwAAAAAAAAAAAAAAAABGBQAAZHJzL2Rvd25yZXYueG1sUEsFBgAAAAAEAAQA8wAAAE4GAAAAAA==&#10;" fillcolor="white [3201]" strokecolor="#ed7d31 [3205]" strokeweight="1pt">
                <v:stroke dashstyle="dash"/>
                <v:shadow color="#868686"/>
                <v:textbox>
                  <w:txbxContent>
                    <w:p w:rsidR="000150C3" w:rsidRDefault="000150C3" w:rsidP="000150C3">
                      <w:pPr>
                        <w:rPr>
                          <w:color w:val="auto"/>
                        </w:rPr>
                      </w:pPr>
                      <w:r w:rsidRPr="00887F74">
                        <w:rPr>
                          <w:b/>
                          <w:color w:val="auto"/>
                        </w:rPr>
                        <w:t>Unterrichtsanschlüsse:</w:t>
                      </w:r>
                      <w:r>
                        <w:rPr>
                          <w:color w:val="auto"/>
                        </w:rPr>
                        <w:t xml:space="preserve"> Wenn die Unterscheidung von Reinstoffen und verschiedene Arten von Stoffgemischen gelingt, kann auf verschiedene Stoffverfahren eingegangen werden. Hierbei sollte jedoch mit einfachen Trennverfahren begonnen werden, wie dem Filtrieren oder das Sortieren.</w:t>
                      </w:r>
                    </w:p>
                    <w:p w:rsidR="000150C3" w:rsidRPr="00887F74" w:rsidRDefault="000150C3" w:rsidP="000150C3"/>
                  </w:txbxContent>
                </v:textbox>
                <w10:anchorlock/>
              </v:shape>
            </w:pict>
          </mc:Fallback>
        </mc:AlternateContent>
      </w:r>
    </w:p>
    <w:sectPr w:rsidR="000150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C3"/>
    <w:rsid w:val="000150C3"/>
    <w:rsid w:val="0086115F"/>
    <w:rsid w:val="00935AB8"/>
    <w:rsid w:val="00A377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87114-3690-4887-85EA-DE6DD29E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150C3"/>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0150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150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150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150C3"/>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0150C3"/>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0150C3"/>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0150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150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150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50C3"/>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0150C3"/>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0150C3"/>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0150C3"/>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0150C3"/>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0150C3"/>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0150C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150C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150C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150C3"/>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2130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3</cp:revision>
  <dcterms:created xsi:type="dcterms:W3CDTF">2016-08-08T11:12:00Z</dcterms:created>
  <dcterms:modified xsi:type="dcterms:W3CDTF">2016-08-09T13:55:00Z</dcterms:modified>
</cp:coreProperties>
</file>