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EE1" w:rsidRPr="00CA7EE1" w:rsidRDefault="00CA7EE1" w:rsidP="00CA7EE1">
      <w:pPr>
        <w:pStyle w:val="berschrift2"/>
        <w:numPr>
          <w:ilvl w:val="0"/>
          <w:numId w:val="0"/>
        </w:numPr>
        <w:ind w:left="576" w:hanging="576"/>
        <w:rPr>
          <w:rFonts w:ascii="Cambria" w:hAnsi="Cambria"/>
        </w:rPr>
      </w:pPr>
      <w:r w:rsidRPr="00CA7EE1">
        <w:rPr>
          <w:rFonts w:ascii="Cambria" w:hAnsi="Cambria"/>
          <w:noProof/>
          <w:lang w:eastAsia="de-DE"/>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415290</wp:posOffset>
                </wp:positionV>
                <wp:extent cx="5873115" cy="850900"/>
                <wp:effectExtent l="0" t="0" r="13335" b="25400"/>
                <wp:wrapSquare wrapText="bothSides"/>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509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A7EE1" w:rsidRPr="00792071" w:rsidRDefault="00CA7EE1" w:rsidP="00CA7EE1">
                            <w:pPr>
                              <w:rPr>
                                <w:color w:val="auto"/>
                              </w:rPr>
                            </w:pPr>
                            <w:r>
                              <w:rPr>
                                <w:color w:val="auto"/>
                              </w:rPr>
                              <w:t>Im Versuch soll das Trennverfahren des Zentrifugierens demonstriert werden. Die Suspension, bestehend aus Wasser und Gartenerde wird zum einen sedimentiert und zum anderen mit eigener Muskelkraft zentrifugiert.</w:t>
                            </w:r>
                          </w:p>
                          <w:p w:rsidR="00CA7EE1" w:rsidRPr="00F31EBF" w:rsidRDefault="00CA7EE1" w:rsidP="00CA7EE1">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2" o:spid="_x0000_s1026" type="#_x0000_t202" style="position:absolute;left:0;text-align:left;margin-left:-.1pt;margin-top:32.7pt;width:462.4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" fillcolor="white [3201]" strokecolor="#4472c4 [3208]" strokeweight="1pt">
                <v:stroke dashstyle="dash"/>
                <v:shadow color="#868686"/>
                <v:textbox>
                  <w:txbxContent>
                    <w:p w:rsidR="00CA7EE1" w:rsidRPr="00792071" w:rsidRDefault="00CA7EE1" w:rsidP="00CA7EE1">
                      <w:pPr>
                        <w:rPr>
                          <w:color w:val="auto"/>
                        </w:rPr>
                      </w:pPr>
                      <w:r>
                        <w:rPr>
                          <w:color w:val="auto"/>
                        </w:rPr>
                        <w:t>Im Versuch soll das Trennverfahren des Zentrifugierens demonstriert werden. Die Suspension, bestehend aus Wasser und Gartenerde wird zum einen sedimentiert und zum an</w:t>
                      </w:r>
                      <w:r>
                        <w:rPr>
                          <w:color w:val="auto"/>
                        </w:rPr>
                        <w:t xml:space="preserve">deren </w:t>
                      </w:r>
                      <w:bookmarkStart w:id="1" w:name="_GoBack"/>
                      <w:bookmarkEnd w:id="1"/>
                      <w:r>
                        <w:rPr>
                          <w:color w:val="auto"/>
                        </w:rPr>
                        <w:t>mit eigener Muskelkraft zentrifugiert.</w:t>
                      </w:r>
                    </w:p>
                    <w:p w:rsidR="00CA7EE1" w:rsidRPr="00F31EBF" w:rsidRDefault="00CA7EE1" w:rsidP="00CA7EE1">
                      <w:pPr>
                        <w:rPr>
                          <w:color w:val="auto"/>
                        </w:rPr>
                      </w:pPr>
                    </w:p>
                  </w:txbxContent>
                </v:textbox>
                <w10:wrap type="square"/>
              </v:shape>
            </w:pict>
          </mc:Fallback>
        </mc:AlternateContent>
      </w:r>
      <w:bookmarkStart w:id="0" w:name="_Toc457199489"/>
      <w:r w:rsidRPr="00CA7EE1">
        <w:rPr>
          <w:rFonts w:ascii="Cambria" w:hAnsi="Cambria"/>
        </w:rPr>
        <w:t xml:space="preserve">V2 – </w:t>
      </w:r>
      <w:r w:rsidRPr="00CA7EE1">
        <w:rPr>
          <w:rFonts w:ascii="Cambria" w:hAnsi="Cambria"/>
          <w:color w:val="auto"/>
        </w:rPr>
        <w:t>Einfaches Zentrifugieren einer Suspension von Gartenerde</w:t>
      </w:r>
      <w:bookmarkEnd w:id="0"/>
    </w:p>
    <w:p w:rsidR="00CA7EE1" w:rsidRDefault="00CA7EE1" w:rsidP="00CA7EE1">
      <w:pPr>
        <w:pStyle w:val="berschrift2"/>
        <w:numPr>
          <w:ilvl w:val="0"/>
          <w:numId w:val="0"/>
        </w:numPr>
      </w:pPr>
    </w:p>
    <w:tbl>
      <w:tblPr>
        <w:tblW w:w="931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8"/>
        <w:gridCol w:w="1008"/>
        <w:gridCol w:w="1174"/>
        <w:gridCol w:w="992"/>
        <w:gridCol w:w="974"/>
        <w:gridCol w:w="1008"/>
        <w:gridCol w:w="1133"/>
      </w:tblGrid>
      <w:tr w:rsidR="00CA7EE1" w:rsidTr="00BD0EFB">
        <w:tc>
          <w:tcPr>
            <w:tcW w:w="9315" w:type="dxa"/>
            <w:gridSpan w:val="9"/>
            <w:tcBorders>
              <w:top w:val="single" w:sz="8" w:space="0" w:color="4F81BD"/>
              <w:left w:val="single" w:sz="8" w:space="0" w:color="4F81BD"/>
              <w:bottom w:val="nil"/>
              <w:right w:val="single" w:sz="8" w:space="0" w:color="4F81BD"/>
            </w:tcBorders>
            <w:shd w:val="clear" w:color="auto" w:fill="4F81BD"/>
            <w:vAlign w:val="center"/>
            <w:hideMark/>
          </w:tcPr>
          <w:p w:rsidR="00CA7EE1" w:rsidRDefault="00CA7EE1" w:rsidP="00BD0EFB">
            <w:pPr>
              <w:spacing w:after="0"/>
              <w:jc w:val="center"/>
              <w:rPr>
                <w:b/>
                <w:bCs/>
                <w:color w:val="FFFFFF" w:themeColor="background1"/>
              </w:rPr>
            </w:pPr>
            <w:r>
              <w:rPr>
                <w:b/>
                <w:bCs/>
                <w:color w:val="FFFFFF" w:themeColor="background1"/>
              </w:rPr>
              <w:t>Gefahrenstoffe</w:t>
            </w:r>
          </w:p>
        </w:tc>
      </w:tr>
      <w:tr w:rsidR="00CA7EE1" w:rsidTr="00BD0EFB">
        <w:trPr>
          <w:trHeight w:val="437"/>
        </w:trPr>
        <w:tc>
          <w:tcPr>
            <w:tcW w:w="3026" w:type="dxa"/>
            <w:gridSpan w:val="3"/>
            <w:tcBorders>
              <w:top w:val="single" w:sz="8" w:space="0" w:color="4F81BD"/>
              <w:left w:val="single" w:sz="8" w:space="0" w:color="4F81BD"/>
              <w:bottom w:val="single" w:sz="8" w:space="0" w:color="4F81BD"/>
              <w:right w:val="nil"/>
            </w:tcBorders>
            <w:vAlign w:val="center"/>
            <w:hideMark/>
          </w:tcPr>
          <w:p w:rsidR="00CA7EE1" w:rsidRDefault="00CA7EE1" w:rsidP="00BD0EFB">
            <w:pPr>
              <w:spacing w:after="0" w:line="276" w:lineRule="auto"/>
              <w:jc w:val="center"/>
              <w:rPr>
                <w:b/>
                <w:bCs/>
              </w:rPr>
            </w:pPr>
            <w:r>
              <w:rPr>
                <w:sz w:val="20"/>
              </w:rPr>
              <w:t>-</w:t>
            </w:r>
          </w:p>
        </w:tc>
        <w:tc>
          <w:tcPr>
            <w:tcW w:w="3174" w:type="dxa"/>
            <w:gridSpan w:val="3"/>
            <w:tcBorders>
              <w:top w:val="single" w:sz="8" w:space="0" w:color="4F81BD"/>
              <w:left w:val="nil"/>
              <w:bottom w:val="single" w:sz="8" w:space="0" w:color="4F81BD"/>
              <w:right w:val="nil"/>
            </w:tcBorders>
            <w:vAlign w:val="center"/>
            <w:hideMark/>
          </w:tcPr>
          <w:p w:rsidR="00CA7EE1" w:rsidRDefault="00CA7EE1" w:rsidP="00BD0EFB">
            <w:pPr>
              <w:spacing w:after="0"/>
              <w:jc w:val="center"/>
            </w:pPr>
            <w:r>
              <w:rPr>
                <w:sz w:val="20"/>
              </w:rPr>
              <w:t xml:space="preserve">H: </w:t>
            </w:r>
            <w:r>
              <w:t>-</w:t>
            </w:r>
          </w:p>
        </w:tc>
        <w:tc>
          <w:tcPr>
            <w:tcW w:w="3115" w:type="dxa"/>
            <w:gridSpan w:val="3"/>
            <w:tcBorders>
              <w:top w:val="single" w:sz="8" w:space="0" w:color="4F81BD"/>
              <w:left w:val="nil"/>
              <w:bottom w:val="single" w:sz="8" w:space="0" w:color="4F81BD"/>
              <w:right w:val="single" w:sz="8" w:space="0" w:color="4F81BD"/>
            </w:tcBorders>
            <w:vAlign w:val="center"/>
            <w:hideMark/>
          </w:tcPr>
          <w:p w:rsidR="00CA7EE1" w:rsidRDefault="00CA7EE1" w:rsidP="00BD0EFB">
            <w:pPr>
              <w:spacing w:after="0"/>
              <w:jc w:val="center"/>
            </w:pPr>
            <w:r>
              <w:rPr>
                <w:sz w:val="20"/>
              </w:rPr>
              <w:t xml:space="preserve">P: </w:t>
            </w:r>
            <w:r>
              <w:t>-</w:t>
            </w:r>
          </w:p>
        </w:tc>
      </w:tr>
      <w:tr w:rsidR="00CA7EE1" w:rsidTr="00BD0EFB">
        <w:tc>
          <w:tcPr>
            <w:tcW w:w="1009" w:type="dxa"/>
            <w:tcBorders>
              <w:top w:val="single" w:sz="8" w:space="0" w:color="4F81BD"/>
              <w:left w:val="single" w:sz="8" w:space="0" w:color="4F81BD"/>
              <w:bottom w:val="single" w:sz="8" w:space="0" w:color="4F81BD"/>
              <w:right w:val="nil"/>
            </w:tcBorders>
            <w:vAlign w:val="center"/>
            <w:hideMark/>
          </w:tcPr>
          <w:p w:rsidR="00CA7EE1" w:rsidRDefault="00CA7EE1" w:rsidP="00BD0EFB">
            <w:pPr>
              <w:spacing w:after="0"/>
              <w:jc w:val="center"/>
              <w:rPr>
                <w:b/>
                <w:bCs/>
              </w:rPr>
            </w:pPr>
            <w:r>
              <w:rPr>
                <w:b/>
                <w:noProof/>
                <w:lang w:eastAsia="de-DE"/>
              </w:rPr>
              <w:drawing>
                <wp:inline distT="0" distB="0" distL="0" distR="0" wp14:anchorId="50C1A85F" wp14:editId="30653043">
                  <wp:extent cx="504825" cy="504825"/>
                  <wp:effectExtent l="19050" t="0" r="9525" b="0"/>
                  <wp:docPr id="1"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CA7EE1" w:rsidRDefault="00CA7EE1" w:rsidP="00BD0EFB">
            <w:pPr>
              <w:spacing w:after="0"/>
              <w:jc w:val="center"/>
            </w:pPr>
            <w:r>
              <w:rPr>
                <w:noProof/>
                <w:lang w:eastAsia="de-DE"/>
              </w:rPr>
              <w:drawing>
                <wp:inline distT="0" distB="0" distL="0" distR="0" wp14:anchorId="34F93576" wp14:editId="5784AF68">
                  <wp:extent cx="518795" cy="518795"/>
                  <wp:effectExtent l="19050" t="0" r="0" b="0"/>
                  <wp:docPr id="2" name="Grafik 127" descr="Beschreibung: Beschreibung: 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descr="Beschreibung: Beschreibung: C:\Users\Kristina\Desktop\SVP Chemie\Piktogramme\Brandfördernd.png"/>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vAlign w:val="center"/>
            <w:hideMark/>
          </w:tcPr>
          <w:p w:rsidR="00CA7EE1" w:rsidRDefault="00CA7EE1" w:rsidP="00BD0EFB">
            <w:pPr>
              <w:spacing w:after="0"/>
              <w:jc w:val="center"/>
            </w:pPr>
            <w:r>
              <w:rPr>
                <w:noProof/>
                <w:lang w:eastAsia="de-DE"/>
              </w:rPr>
              <w:drawing>
                <wp:inline distT="0" distB="0" distL="0" distR="0" wp14:anchorId="184A03D2" wp14:editId="6A815D5D">
                  <wp:extent cx="518795" cy="518795"/>
                  <wp:effectExtent l="19050" t="0" r="0" b="0"/>
                  <wp:docPr id="3" name="Grafik 126" descr="Beschreibung: Beschreibung: 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descr="Beschreibung: Beschreibung: C:\Users\Kristina\Desktop\SVP Chemie\Piktogramme\Brennbar.png"/>
                          <pic:cNvPicPr>
                            <a:picLocks noChangeAspect="1" noChangeArrowheads="1"/>
                          </pic:cNvPicPr>
                        </pic:nvPicPr>
                        <pic:blipFill>
                          <a:blip r:embed="rId7"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vAlign w:val="center"/>
            <w:hideMark/>
          </w:tcPr>
          <w:p w:rsidR="00CA7EE1" w:rsidRDefault="00CA7EE1" w:rsidP="00BD0EFB">
            <w:pPr>
              <w:spacing w:after="0"/>
              <w:jc w:val="center"/>
            </w:pPr>
            <w:r>
              <w:rPr>
                <w:noProof/>
                <w:lang w:eastAsia="de-DE"/>
              </w:rPr>
              <w:drawing>
                <wp:inline distT="0" distB="0" distL="0" distR="0" wp14:anchorId="7FE79CF6" wp14:editId="737D83F2">
                  <wp:extent cx="518795" cy="518795"/>
                  <wp:effectExtent l="19050" t="0" r="0" b="0"/>
                  <wp:docPr id="4" name="Grafik 125" descr="Beschreibung: Beschreibung: 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descr="Beschreibung: Beschreibung: C:\Users\Kristina\Desktop\SVP Chemie\Piktogramme\Explosionsgefahr.png"/>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174" w:type="dxa"/>
            <w:tcBorders>
              <w:top w:val="single" w:sz="8" w:space="0" w:color="4F81BD"/>
              <w:left w:val="nil"/>
              <w:bottom w:val="single" w:sz="8" w:space="0" w:color="4F81BD"/>
              <w:right w:val="nil"/>
            </w:tcBorders>
            <w:vAlign w:val="center"/>
            <w:hideMark/>
          </w:tcPr>
          <w:p w:rsidR="00CA7EE1" w:rsidRDefault="00CA7EE1" w:rsidP="00BD0EFB">
            <w:pPr>
              <w:spacing w:after="0"/>
              <w:jc w:val="center"/>
            </w:pPr>
            <w:r>
              <w:rPr>
                <w:noProof/>
                <w:lang w:eastAsia="de-DE"/>
              </w:rPr>
              <w:drawing>
                <wp:inline distT="0" distB="0" distL="0" distR="0" wp14:anchorId="313BE169" wp14:editId="614354C8">
                  <wp:extent cx="518795" cy="518795"/>
                  <wp:effectExtent l="19050" t="0" r="0" b="0"/>
                  <wp:docPr id="5" name="Grafik 124" descr="Beschreibung: Beschreibung: 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descr="Beschreibung: Beschreibung: C:\Users\Kristina\Desktop\SVP Chemie\Piktogramme\Gasflasche.png"/>
                          <pic:cNvPicPr>
                            <a:picLocks noChangeAspect="1" noChangeArrowheads="1"/>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992" w:type="dxa"/>
            <w:tcBorders>
              <w:top w:val="single" w:sz="8" w:space="0" w:color="4F81BD"/>
              <w:left w:val="nil"/>
              <w:bottom w:val="single" w:sz="8" w:space="0" w:color="4F81BD"/>
              <w:right w:val="nil"/>
            </w:tcBorders>
            <w:vAlign w:val="center"/>
            <w:hideMark/>
          </w:tcPr>
          <w:p w:rsidR="00CA7EE1" w:rsidRDefault="00CA7EE1" w:rsidP="00BD0EFB">
            <w:pPr>
              <w:spacing w:after="0"/>
              <w:jc w:val="center"/>
            </w:pPr>
            <w:r>
              <w:rPr>
                <w:noProof/>
                <w:lang w:eastAsia="de-DE"/>
              </w:rPr>
              <w:drawing>
                <wp:inline distT="0" distB="0" distL="0" distR="0" wp14:anchorId="6F185C1D" wp14:editId="1492AE1D">
                  <wp:extent cx="518795" cy="518795"/>
                  <wp:effectExtent l="19050" t="0" r="0" b="0"/>
                  <wp:docPr id="6" name="Grafik 123" descr="Beschreibung: Beschreibung: 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descr="Beschreibung: Beschreibung: C:\Users\Kristina\Desktop\SVP Chemie\Piktogramme\Gesundheitsgefahr.pn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974" w:type="dxa"/>
            <w:tcBorders>
              <w:top w:val="single" w:sz="8" w:space="0" w:color="4F81BD"/>
              <w:left w:val="nil"/>
              <w:bottom w:val="single" w:sz="8" w:space="0" w:color="4F81BD"/>
              <w:right w:val="nil"/>
            </w:tcBorders>
            <w:vAlign w:val="center"/>
            <w:hideMark/>
          </w:tcPr>
          <w:p w:rsidR="00CA7EE1" w:rsidRDefault="00CA7EE1" w:rsidP="00BD0EFB">
            <w:pPr>
              <w:spacing w:after="0"/>
              <w:jc w:val="center"/>
            </w:pPr>
            <w:r>
              <w:rPr>
                <w:noProof/>
                <w:lang w:eastAsia="de-DE"/>
              </w:rPr>
              <w:drawing>
                <wp:inline distT="0" distB="0" distL="0" distR="0" wp14:anchorId="5A2E3F76" wp14:editId="3B458329">
                  <wp:extent cx="518795" cy="518795"/>
                  <wp:effectExtent l="19050" t="0" r="0" b="0"/>
                  <wp:docPr id="7" name="Grafik 122" descr="Beschreibung: Beschreibung: 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descr="Beschreibung: Beschreibung: C:\Users\Kristina\Desktop\SVP Chemie\Piktogramme\Giftig.pn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vAlign w:val="center"/>
            <w:hideMark/>
          </w:tcPr>
          <w:p w:rsidR="00CA7EE1" w:rsidRDefault="00CA7EE1" w:rsidP="00BD0EFB">
            <w:pPr>
              <w:spacing w:after="0"/>
              <w:jc w:val="center"/>
            </w:pPr>
            <w:r>
              <w:rPr>
                <w:noProof/>
                <w:lang w:eastAsia="de-DE"/>
              </w:rPr>
              <w:drawing>
                <wp:inline distT="0" distB="0" distL="0" distR="0" wp14:anchorId="74C587F2" wp14:editId="58FD36C3">
                  <wp:extent cx="518795" cy="518795"/>
                  <wp:effectExtent l="19050" t="0" r="0" b="0"/>
                  <wp:docPr id="8" name="Grafi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133" w:type="dxa"/>
            <w:tcBorders>
              <w:top w:val="single" w:sz="8" w:space="0" w:color="4F81BD"/>
              <w:left w:val="nil"/>
              <w:bottom w:val="single" w:sz="8" w:space="0" w:color="4F81BD"/>
              <w:right w:val="single" w:sz="8" w:space="0" w:color="4F81BD"/>
            </w:tcBorders>
            <w:vAlign w:val="center"/>
            <w:hideMark/>
          </w:tcPr>
          <w:p w:rsidR="00CA7EE1" w:rsidRDefault="00CA7EE1" w:rsidP="00BD0EFB">
            <w:pPr>
              <w:spacing w:after="0"/>
              <w:jc w:val="center"/>
            </w:pPr>
            <w:r>
              <w:rPr>
                <w:noProof/>
                <w:lang w:eastAsia="de-DE"/>
              </w:rPr>
              <w:drawing>
                <wp:inline distT="0" distB="0" distL="0" distR="0" wp14:anchorId="052ACDC1" wp14:editId="562422B4">
                  <wp:extent cx="518795" cy="518795"/>
                  <wp:effectExtent l="19050" t="0" r="0" b="0"/>
                  <wp:docPr id="9" name="Grafik 120" descr="Beschreibung: Beschreibung: 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descr="Beschreibung: Beschreibung: C:\Users\Kristina\Desktop\SVP Chemie\Piktogramme\Umweltgefahr.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r>
    </w:tbl>
    <w:p w:rsidR="00CA7EE1" w:rsidRDefault="00CA7EE1" w:rsidP="00CA7EE1">
      <w:pPr>
        <w:tabs>
          <w:tab w:val="left" w:pos="1701"/>
          <w:tab w:val="left" w:pos="1985"/>
        </w:tabs>
      </w:pPr>
    </w:p>
    <w:p w:rsidR="00CA7EE1" w:rsidRDefault="00CA7EE1" w:rsidP="00CA7EE1">
      <w:pPr>
        <w:tabs>
          <w:tab w:val="left" w:pos="1701"/>
          <w:tab w:val="left" w:pos="1985"/>
        </w:tabs>
        <w:ind w:left="1980" w:hanging="1980"/>
      </w:pPr>
      <w:r>
        <w:t xml:space="preserve">Materialien: </w:t>
      </w:r>
      <w:r>
        <w:tab/>
      </w:r>
      <w:r>
        <w:tab/>
        <w:t xml:space="preserve">2 Reagenzglas, 2 Stopfen, Reagenzglasständer </w:t>
      </w:r>
    </w:p>
    <w:p w:rsidR="00CA7EE1" w:rsidRDefault="00CA7EE1" w:rsidP="00CA7EE1">
      <w:pPr>
        <w:tabs>
          <w:tab w:val="left" w:pos="1701"/>
          <w:tab w:val="left" w:pos="1985"/>
        </w:tabs>
        <w:ind w:left="1980" w:hanging="1980"/>
      </w:pPr>
      <w:r>
        <w:t>Chemikalien:</w:t>
      </w:r>
      <w:r>
        <w:tab/>
      </w:r>
      <w:r>
        <w:tab/>
        <w:t>Gartenerde, Wasser</w:t>
      </w:r>
    </w:p>
    <w:p w:rsidR="00CA7EE1" w:rsidRDefault="00CA7EE1" w:rsidP="00CA7EE1">
      <w:pPr>
        <w:tabs>
          <w:tab w:val="left" w:pos="1701"/>
          <w:tab w:val="left" w:pos="1985"/>
        </w:tabs>
        <w:ind w:left="1980" w:hanging="1980"/>
      </w:pPr>
      <w:r>
        <w:t xml:space="preserve">Durchführung: </w:t>
      </w:r>
      <w:r>
        <w:tab/>
      </w:r>
      <w:r>
        <w:tab/>
      </w:r>
      <w:r>
        <w:tab/>
        <w:t>In zwei Reagenzgläser wird die gleiche Mengen (je 1 Spatel) Gartenerde gefüllt und die beiden Reagenzgläser zu zwei Dritteln mit Wasser aufgefüllt. Anschließend werden die Reagenzgläser mit Stopfen verschlossen und geschüttelt, so dass sich die Gartenerde gleichmäßig im Wasser verteilt. Eines der Reagenzgläser wird an die Seite gestellt. Das andere wird an der Reagenzglasmündung mit den Fingern festgehalten und dann wird der Arm in großen, schnellen Kreisen bewegt. Nach einer Minute wird das zweite Reagenzglas neben das andere gestellt und verglichen.</w:t>
      </w:r>
    </w:p>
    <w:p w:rsidR="00CA7EE1" w:rsidRDefault="00CA7EE1" w:rsidP="00CA7EE1">
      <w:pPr>
        <w:tabs>
          <w:tab w:val="left" w:pos="1701"/>
          <w:tab w:val="left" w:pos="1985"/>
        </w:tabs>
        <w:ind w:left="1980" w:hanging="1980"/>
      </w:pPr>
      <w:r>
        <w:t>Beobachtung:</w:t>
      </w:r>
      <w:r>
        <w:tab/>
      </w:r>
      <w:r>
        <w:tab/>
      </w:r>
      <w:r>
        <w:tab/>
      </w:r>
      <w:r w:rsidRPr="00224894">
        <w:t>Im ersten Reagenzglas hat sich ein Teil der Gartenerde am Boden abgesetzt. Er ist sedimentiert. Im zweiten Reagenzglas, welches "zentrifugiert“ wurde, ist wesentlich mehr Gartenerde sedimentiert. Die überstehende Lösung ist etwas klarer.</w:t>
      </w:r>
    </w:p>
    <w:p w:rsidR="00CA7EE1" w:rsidRDefault="00CA7EE1" w:rsidP="00CA7EE1">
      <w:pPr>
        <w:keepNext/>
        <w:tabs>
          <w:tab w:val="left" w:pos="1701"/>
          <w:tab w:val="left" w:pos="1985"/>
        </w:tabs>
        <w:ind w:left="1980" w:hanging="1980"/>
        <w:jc w:val="center"/>
      </w:pPr>
      <w:r>
        <w:rPr>
          <w:noProof/>
          <w:lang w:eastAsia="de-DE"/>
        </w:rPr>
        <w:lastRenderedPageBreak/>
        <w:drawing>
          <wp:inline distT="0" distB="0" distL="0" distR="0" wp14:anchorId="43543912" wp14:editId="111E2DAD">
            <wp:extent cx="1445875" cy="3614139"/>
            <wp:effectExtent l="0" t="0" r="0" b="0"/>
            <wp:docPr id="64" name="Grafik 64" descr="Beschreibung: C:\Users\Kristina\Desktop\SVP Chemie\Experimente 5_6\Fotos\DSC_1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8" descr="Beschreibung: C:\Users\Kristina\Desktop\SVP Chemie\Experimente 5_6\Fotos\DSC_125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9996" cy="3624439"/>
                    </a:xfrm>
                    <a:prstGeom prst="rect">
                      <a:avLst/>
                    </a:prstGeom>
                    <a:noFill/>
                    <a:ln>
                      <a:noFill/>
                    </a:ln>
                  </pic:spPr>
                </pic:pic>
              </a:graphicData>
            </a:graphic>
          </wp:inline>
        </w:drawing>
      </w:r>
    </w:p>
    <w:p w:rsidR="00CA7EE1" w:rsidRDefault="00CA7EE1" w:rsidP="00CA7EE1">
      <w:pPr>
        <w:pStyle w:val="Beschriftung"/>
        <w:jc w:val="center"/>
      </w:pPr>
      <w:r>
        <w:t xml:space="preserve">Abb. 2 - </w:t>
      </w:r>
      <w:r w:rsidR="00841FF6">
        <w:rPr>
          <w:noProof/>
        </w:rPr>
        <w:t xml:space="preserve"> L</w:t>
      </w:r>
      <w:bookmarkStart w:id="1" w:name="_GoBack"/>
      <w:bookmarkEnd w:id="1"/>
      <w:r>
        <w:rPr>
          <w:noProof/>
        </w:rPr>
        <w:t>inks: ohne Zentrifugieren. Rechts: mit Zentrifugieren.</w:t>
      </w:r>
    </w:p>
    <w:p w:rsidR="00CA7EE1" w:rsidRDefault="00CA7EE1" w:rsidP="00CA7EE1">
      <w:pPr>
        <w:tabs>
          <w:tab w:val="left" w:pos="1701"/>
          <w:tab w:val="left" w:pos="1985"/>
        </w:tabs>
      </w:pPr>
      <w:r>
        <w:t>Deutung:</w:t>
      </w:r>
      <w:r>
        <w:tab/>
      </w:r>
      <w:r>
        <w:tab/>
        <w:t xml:space="preserve">Durch Sedimentieren und Dekantieren werden Suspensionen getrennt. </w:t>
      </w:r>
      <w:r>
        <w:tab/>
      </w:r>
      <w:r>
        <w:tab/>
        <w:t>Während das Sedimentieren aufgrund der Schwerkraft meist langsam ab</w:t>
      </w:r>
      <w:r>
        <w:tab/>
      </w:r>
      <w:r>
        <w:tab/>
        <w:t xml:space="preserve">läuft, erreicht man mit Hilfe des Zentrifugierens ein sehr schnelles </w:t>
      </w:r>
      <w:proofErr w:type="spellStart"/>
      <w:r>
        <w:t>Abset</w:t>
      </w:r>
      <w:proofErr w:type="spellEnd"/>
      <w:r>
        <w:tab/>
      </w:r>
      <w:r>
        <w:tab/>
      </w:r>
      <w:proofErr w:type="spellStart"/>
      <w:r>
        <w:t>zen</w:t>
      </w:r>
      <w:proofErr w:type="spellEnd"/>
      <w:r>
        <w:t xml:space="preserve"> des suspendierten Feststoffes.</w:t>
      </w:r>
    </w:p>
    <w:p w:rsidR="00CA7EE1" w:rsidRDefault="00CA7EE1" w:rsidP="00CA7EE1">
      <w:pPr>
        <w:ind w:left="1985" w:hanging="1985"/>
      </w:pPr>
      <w:r>
        <w:t>Entsorgung:</w:t>
      </w:r>
      <w:r>
        <w:tab/>
        <w:t xml:space="preserve">Die abgeschöpfte Erde kann in den Hausmüll entsorgt werden. </w:t>
      </w:r>
    </w:p>
    <w:p w:rsidR="00CA7EE1" w:rsidRPr="009D5E94" w:rsidRDefault="00CA7EE1" w:rsidP="00CA7EE1">
      <w:pPr>
        <w:spacing w:line="276" w:lineRule="auto"/>
        <w:ind w:left="1985" w:hanging="1985"/>
        <w:jc w:val="left"/>
        <w:rPr>
          <w:rFonts w:asciiTheme="majorHAnsi" w:eastAsiaTheme="majorEastAsia" w:hAnsiTheme="majorHAnsi" w:cstheme="majorBidi"/>
          <w:b/>
          <w:bCs/>
          <w:sz w:val="28"/>
          <w:szCs w:val="28"/>
        </w:rPr>
      </w:pPr>
      <w:r>
        <w:t>Literatur:</w:t>
      </w:r>
      <w:r>
        <w:tab/>
      </w:r>
      <w:r w:rsidRPr="009D5E94">
        <w:rPr>
          <w:color w:val="auto"/>
        </w:rPr>
        <w:t>Prof. R. Blume, http://www.chemieunterricht.de/dc2/haus/v171.htm, 12.06.2010, zuletzt abgerufen am 27.07.16 um 11.13 Uhr.</w:t>
      </w:r>
    </w:p>
    <w:p w:rsidR="00CA7EE1" w:rsidRDefault="00CA7EE1" w:rsidP="00CA7EE1">
      <w:pPr>
        <w:tabs>
          <w:tab w:val="left" w:pos="1701"/>
          <w:tab w:val="left" w:pos="1985"/>
        </w:tabs>
        <w:rPr>
          <w:color w:val="auto"/>
        </w:rPr>
      </w:pPr>
      <w:r>
        <w:rPr>
          <w:noProof/>
          <w:lang w:eastAsia="de-DE"/>
        </w:rPr>
        <mc:AlternateContent>
          <mc:Choice Requires="wps">
            <w:drawing>
              <wp:anchor distT="0" distB="0" distL="114300" distR="114300" simplePos="0" relativeHeight="251660288" behindDoc="1" locked="0" layoutInCell="1" allowOverlap="1">
                <wp:simplePos x="0" y="0"/>
                <wp:positionH relativeFrom="column">
                  <wp:posOffset>-38735</wp:posOffset>
                </wp:positionH>
                <wp:positionV relativeFrom="paragraph">
                  <wp:posOffset>231775</wp:posOffset>
                </wp:positionV>
                <wp:extent cx="5873115" cy="1094105"/>
                <wp:effectExtent l="0" t="0" r="13335" b="10795"/>
                <wp:wrapTight wrapText="bothSides">
                  <wp:wrapPolygon edited="0">
                    <wp:start x="0" y="0"/>
                    <wp:lineTo x="0" y="21437"/>
                    <wp:lineTo x="21579" y="21437"/>
                    <wp:lineTo x="21579" y="0"/>
                    <wp:lineTo x="0" y="0"/>
                  </wp:wrapPolygon>
                </wp:wrapTight>
                <wp:docPr id="33"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9410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A7EE1" w:rsidRDefault="00CA7EE1" w:rsidP="00CA7EE1">
                            <w:pPr>
                              <w:rPr>
                                <w:color w:val="auto"/>
                              </w:rPr>
                            </w:pPr>
                            <w:r>
                              <w:rPr>
                                <w:color w:val="auto"/>
                              </w:rPr>
                              <w:t xml:space="preserve">Mit diesem Versuch kann viel Abwechslung in den Unterricht gebracht werden, da sie einer „Sportübung“ gleicht. Alle </w:t>
                            </w:r>
                            <w:proofErr w:type="spellStart"/>
                            <w:r>
                              <w:rPr>
                                <w:color w:val="auto"/>
                              </w:rPr>
                              <w:t>SuS</w:t>
                            </w:r>
                            <w:proofErr w:type="spellEnd"/>
                            <w:r>
                              <w:rPr>
                                <w:color w:val="auto"/>
                              </w:rPr>
                              <w:t xml:space="preserve"> sind in Bewegung und selbst in der Bearbeitung der Aufgabe gefragt. Allerdings birgt es auch eine Gefahr, falls das Reagenzglas beim Rotieren der Arme nicht fest genug gehalten werden. Daher sollte für ausreichende Sicherheit gesorgt werden.</w:t>
                            </w:r>
                          </w:p>
                          <w:p w:rsidR="00CA7EE1" w:rsidRPr="00792071" w:rsidRDefault="00CA7EE1" w:rsidP="00CA7EE1">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3" o:spid="_x0000_s1027" type="#_x0000_t202" style="position:absolute;left:0;text-align:left;margin-left:-3.05pt;margin-top:18.25pt;width:462.45pt;height:8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" fillcolor="white [3201]" strokecolor="#ed7d31 [3205]" strokeweight="1pt">
                <v:stroke dashstyle="dash"/>
                <v:shadow color="#868686"/>
                <v:textbox>
                  <w:txbxContent>
                    <w:p w:rsidR="00CA7EE1" w:rsidRDefault="00CA7EE1" w:rsidP="00CA7EE1">
                      <w:pPr>
                        <w:rPr>
                          <w:color w:val="auto"/>
                        </w:rPr>
                      </w:pPr>
                      <w:r>
                        <w:rPr>
                          <w:color w:val="auto"/>
                        </w:rPr>
                        <w:t xml:space="preserve">Mit diesem Versuch kann viel Abwechslung in den Unterricht gebracht werden, da sie einer „Sportübung“ gleicht. Alle </w:t>
                      </w:r>
                      <w:proofErr w:type="spellStart"/>
                      <w:r>
                        <w:rPr>
                          <w:color w:val="auto"/>
                        </w:rPr>
                        <w:t>SuS</w:t>
                      </w:r>
                      <w:proofErr w:type="spellEnd"/>
                      <w:r>
                        <w:rPr>
                          <w:color w:val="auto"/>
                        </w:rPr>
                        <w:t xml:space="preserve"> sind in Bewegung und selbst in der Bearbeitung der Aufgabe gefragt. Allerdings birgt es auch eine Gefahr, falls das Reagenzglas beim Rotieren der Arme nicht fest genug gehalten werden. Daher sollte für ausreichende Sicherheit gesorgt werden.</w:t>
                      </w:r>
                    </w:p>
                    <w:p w:rsidR="00CA7EE1" w:rsidRPr="00792071" w:rsidRDefault="00CA7EE1" w:rsidP="00CA7EE1">
                      <w:pPr>
                        <w:rPr>
                          <w:color w:val="auto"/>
                        </w:rPr>
                      </w:pPr>
                    </w:p>
                  </w:txbxContent>
                </v:textbox>
                <w10:wrap type="tight"/>
              </v:shape>
            </w:pict>
          </mc:Fallback>
        </mc:AlternateContent>
      </w:r>
    </w:p>
    <w:p w:rsidR="00E35BC4" w:rsidRDefault="00E35BC4"/>
    <w:sectPr w:rsidR="00E35B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E1"/>
    <w:rsid w:val="00841FF6"/>
    <w:rsid w:val="00CA7EE1"/>
    <w:rsid w:val="00E35B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551B"/>
  <w15:chartTrackingRefBased/>
  <w15:docId w15:val="{E55B3C9C-3697-47FD-9138-FE47325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A7EE1"/>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CA7EE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A7EE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A7EE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A7EE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CA7EE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CA7EE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CA7EE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A7EE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A7EE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7EE1"/>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CA7EE1"/>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CA7EE1"/>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CA7EE1"/>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CA7EE1"/>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CA7EE1"/>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CA7EE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A7EE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A7EE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A7EE1"/>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2</cp:revision>
  <dcterms:created xsi:type="dcterms:W3CDTF">2016-08-09T12:17:00Z</dcterms:created>
  <dcterms:modified xsi:type="dcterms:W3CDTF">2016-08-09T14:03:00Z</dcterms:modified>
</cp:coreProperties>
</file>