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7295924"/>
    <w:p w:rsidR="00C82A32" w:rsidRPr="00912CF4" w:rsidRDefault="00C82A32" w:rsidP="00C82A32">
      <w:pPr>
        <w:pStyle w:val="berschrift2"/>
        <w:rPr>
          <w:color w:val="auto"/>
          <w:sz w:val="24"/>
        </w:rPr>
      </w:pPr>
      <w:r w:rsidRPr="00912CF4">
        <w:rPr>
          <w:rFonts w:ascii="Cambria" w:eastAsiaTheme="minorHAnsi" w:hAnsi="Cambria" w:cstheme="minorBidi"/>
          <w:b w:val="0"/>
          <w:bCs w:val="0"/>
          <w:noProof/>
          <w:szCs w:val="22"/>
          <w:lang w:eastAsia="de-DE"/>
        </w:rPr>
        <mc:AlternateContent>
          <mc:Choice Requires="wps">
            <w:drawing>
              <wp:anchor distT="0" distB="0" distL="114300" distR="114300" simplePos="0" relativeHeight="251659264" behindDoc="0" locked="0" layoutInCell="1" allowOverlap="1" wp14:anchorId="198493C6" wp14:editId="0E25E44E">
                <wp:simplePos x="0" y="0"/>
                <wp:positionH relativeFrom="column">
                  <wp:posOffset>0</wp:posOffset>
                </wp:positionH>
                <wp:positionV relativeFrom="paragraph">
                  <wp:posOffset>605790</wp:posOffset>
                </wp:positionV>
                <wp:extent cx="5873115" cy="796925"/>
                <wp:effectExtent l="0" t="0" r="13335" b="22225"/>
                <wp:wrapSquare wrapText="bothSides"/>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2A32" w:rsidRPr="00BB2392" w:rsidRDefault="00C82A32" w:rsidP="00C82A32">
                            <w:pPr>
                              <w:rPr>
                                <w:color w:val="auto"/>
                              </w:rPr>
                            </w:pPr>
                            <w:r>
                              <w:rPr>
                                <w:color w:val="auto"/>
                              </w:rPr>
                              <w:t xml:space="preserve">In diesem Versuch wird die Druckabhängigkeit von Kohlenstoffdioxid in Wasser mittels Mineralwasser gezeigt. Eine verschlossene Spritze dient hierbei dazu, den Druck auf kleinstem Raum zu erhöhen oder zu erniedrigen.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0" o:spid="_x0000_s1026" type="#_x0000_t202" style="position:absolute;left:0;text-align:left;margin-left:0;margin-top:47.7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" strokecolor="#4bacc6" strokeweight="1pt">
                <v:stroke dashstyle="dash"/>
                <v:shadow color="#868686"/>
                <v:textbox>
                  <w:txbxContent>
                    <w:p w:rsidR="00C82A32" w:rsidRPr="00BB2392" w:rsidRDefault="00C82A32" w:rsidP="00C82A32">
                      <w:pPr>
                        <w:rPr>
                          <w:color w:val="auto"/>
                        </w:rPr>
                      </w:pPr>
                      <w:r>
                        <w:rPr>
                          <w:color w:val="auto"/>
                        </w:rPr>
                        <w:t xml:space="preserve">In diesem Versuch wird die Druckabhängigkeit von Kohlenstoffdioxid in Wasser mittels Mineralwasser gezeigt. Eine verschlossene Spritze dient hierbei dazu, den Druck auf kleinstem Raum zu erhöhen oder zu erniedrigen. </w:t>
                      </w:r>
                    </w:p>
                  </w:txbxContent>
                </v:textbox>
                <w10:wrap type="square"/>
              </v:shape>
            </w:pict>
          </mc:Fallback>
        </mc:AlternateContent>
      </w:r>
      <w:r>
        <w:rPr>
          <w:color w:val="auto"/>
          <w:sz w:val="24"/>
        </w:rPr>
        <w:t xml:space="preserve">V3 - </w:t>
      </w:r>
      <w:r w:rsidRPr="00912CF4">
        <w:rPr>
          <w:color w:val="auto"/>
          <w:sz w:val="24"/>
        </w:rPr>
        <w:t>Versuch zur Druckabhängigkeit der Löslichkeit von Gasen</w:t>
      </w:r>
      <w:bookmarkEnd w:id="0"/>
      <w:r w:rsidRPr="00912CF4">
        <w:rPr>
          <w:color w:val="auto"/>
          <w:sz w:val="24"/>
        </w:rPr>
        <w:t xml:space="preserve"> </w:t>
      </w:r>
    </w:p>
    <w:p w:rsidR="00C82A32" w:rsidRDefault="00C82A32" w:rsidP="00C82A32">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82A32" w:rsidRPr="009C5E28" w:rsidTr="002274AA">
        <w:tc>
          <w:tcPr>
            <w:tcW w:w="9322" w:type="dxa"/>
            <w:gridSpan w:val="9"/>
            <w:shd w:val="clear" w:color="auto" w:fill="4F81BD"/>
            <w:vAlign w:val="center"/>
          </w:tcPr>
          <w:p w:rsidR="00C82A32" w:rsidRPr="00F31EBF" w:rsidRDefault="00C82A32" w:rsidP="002274AA">
            <w:pPr>
              <w:spacing w:after="0"/>
              <w:jc w:val="center"/>
              <w:rPr>
                <w:b/>
                <w:bCs/>
                <w:color w:val="FFFFFF" w:themeColor="background1"/>
              </w:rPr>
            </w:pPr>
            <w:r w:rsidRPr="00F31EBF">
              <w:rPr>
                <w:b/>
                <w:bCs/>
                <w:color w:val="FFFFFF" w:themeColor="background1"/>
              </w:rPr>
              <w:t>Gefahrenstoffe</w:t>
            </w:r>
          </w:p>
        </w:tc>
      </w:tr>
      <w:tr w:rsidR="00C82A32" w:rsidRPr="009C5E28" w:rsidTr="002274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82A32" w:rsidRPr="009C5E28" w:rsidRDefault="00C82A32" w:rsidP="002274AA">
            <w:pPr>
              <w:spacing w:after="0" w:line="276" w:lineRule="auto"/>
              <w:jc w:val="center"/>
              <w:rPr>
                <w:b/>
                <w:bCs/>
              </w:rPr>
            </w:pPr>
            <w:r>
              <w:rPr>
                <w:sz w:val="20"/>
              </w:rPr>
              <w:t>Mineralwasser</w:t>
            </w:r>
          </w:p>
        </w:tc>
        <w:tc>
          <w:tcPr>
            <w:tcW w:w="3177" w:type="dxa"/>
            <w:gridSpan w:val="3"/>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82A32" w:rsidRPr="009C5E28" w:rsidRDefault="00C82A32" w:rsidP="002274AA">
            <w:pPr>
              <w:spacing w:after="0"/>
              <w:jc w:val="center"/>
            </w:pPr>
            <w:r w:rsidRPr="009C5E28">
              <w:rPr>
                <w:sz w:val="20"/>
              </w:rPr>
              <w:t xml:space="preserve">P: </w:t>
            </w:r>
            <w:r>
              <w:t>-</w:t>
            </w:r>
          </w:p>
        </w:tc>
      </w:tr>
      <w:tr w:rsidR="00C82A32" w:rsidRPr="009C5E28" w:rsidTr="002274AA">
        <w:tc>
          <w:tcPr>
            <w:tcW w:w="1009" w:type="dxa"/>
            <w:tcBorders>
              <w:top w:val="single" w:sz="8" w:space="0" w:color="4F81BD"/>
              <w:left w:val="single" w:sz="8" w:space="0" w:color="4F81BD"/>
              <w:bottom w:val="single" w:sz="8" w:space="0" w:color="4F81BD"/>
            </w:tcBorders>
            <w:shd w:val="clear" w:color="auto" w:fill="auto"/>
            <w:vAlign w:val="center"/>
          </w:tcPr>
          <w:p w:rsidR="00C82A32" w:rsidRPr="009C5E28" w:rsidRDefault="00C82A32" w:rsidP="002274AA">
            <w:pPr>
              <w:spacing w:after="0"/>
              <w:jc w:val="center"/>
              <w:rPr>
                <w:b/>
                <w:bCs/>
              </w:rPr>
            </w:pPr>
            <w:r>
              <w:rPr>
                <w:b/>
                <w:bCs/>
                <w:noProof/>
                <w:lang w:eastAsia="de-DE"/>
              </w:rPr>
              <w:drawing>
                <wp:inline distT="0" distB="0" distL="0" distR="0" wp14:anchorId="04489DB4" wp14:editId="70D6B557">
                  <wp:extent cx="503555" cy="50355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77F7B839" wp14:editId="75635904">
                  <wp:extent cx="503555" cy="50355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7F5AE775" wp14:editId="5D6E8131">
                  <wp:extent cx="503555" cy="50355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735F2138" wp14:editId="238A5B2E">
                  <wp:extent cx="503555" cy="503555"/>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0DD8B4AD" wp14:editId="4D9816D5">
                  <wp:extent cx="608965" cy="608965"/>
                  <wp:effectExtent l="0" t="0" r="635" b="635"/>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5EB0B5E1" wp14:editId="3C3E6409">
                  <wp:extent cx="493395" cy="493395"/>
                  <wp:effectExtent l="0" t="0" r="1905" b="190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40908B4E" wp14:editId="043D079B">
                  <wp:extent cx="481965" cy="481965"/>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345977BD" wp14:editId="67534A80">
                  <wp:extent cx="503555" cy="503555"/>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82A32" w:rsidRPr="009C5E28" w:rsidRDefault="00C82A32" w:rsidP="002274AA">
            <w:pPr>
              <w:spacing w:after="0"/>
              <w:jc w:val="center"/>
            </w:pPr>
            <w:r>
              <w:rPr>
                <w:noProof/>
                <w:lang w:eastAsia="de-DE"/>
              </w:rPr>
              <w:drawing>
                <wp:inline distT="0" distB="0" distL="0" distR="0" wp14:anchorId="015DFD3A" wp14:editId="0DC83CB1">
                  <wp:extent cx="582930" cy="582930"/>
                  <wp:effectExtent l="0" t="0" r="7620" b="762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C82A32" w:rsidRDefault="00C82A32" w:rsidP="00C82A32">
      <w:pPr>
        <w:tabs>
          <w:tab w:val="left" w:pos="1701"/>
          <w:tab w:val="left" w:pos="1985"/>
        </w:tabs>
        <w:ind w:left="1980" w:hanging="1980"/>
      </w:pPr>
    </w:p>
    <w:p w:rsidR="00C82A32" w:rsidRDefault="00C82A32" w:rsidP="00C82A32">
      <w:pPr>
        <w:tabs>
          <w:tab w:val="left" w:pos="1701"/>
          <w:tab w:val="left" w:pos="1985"/>
        </w:tabs>
        <w:ind w:left="1980" w:hanging="1980"/>
      </w:pPr>
      <w:r>
        <w:t xml:space="preserve">Materialien: </w:t>
      </w:r>
      <w:r>
        <w:tab/>
      </w:r>
      <w:r>
        <w:tab/>
        <w:t>Becherglas, Spritze aus Kunststoff mit Ventil</w:t>
      </w:r>
    </w:p>
    <w:p w:rsidR="00C82A32" w:rsidRPr="00ED07C2" w:rsidRDefault="00C82A32" w:rsidP="00C82A32">
      <w:pPr>
        <w:tabs>
          <w:tab w:val="left" w:pos="1701"/>
          <w:tab w:val="left" w:pos="1985"/>
        </w:tabs>
        <w:ind w:left="1980" w:hanging="1980"/>
      </w:pPr>
      <w:r>
        <w:t>Chemikalien:</w:t>
      </w:r>
      <w:r>
        <w:tab/>
      </w:r>
      <w:r>
        <w:tab/>
        <w:t>Mineralwasser</w:t>
      </w:r>
    </w:p>
    <w:p w:rsidR="00C82A32" w:rsidRDefault="00C82A32" w:rsidP="00C82A32">
      <w:pPr>
        <w:tabs>
          <w:tab w:val="left" w:pos="1701"/>
          <w:tab w:val="left" w:pos="1985"/>
        </w:tabs>
        <w:ind w:left="1980" w:hanging="1980"/>
      </w:pPr>
      <w:r>
        <w:t xml:space="preserve">Durchführung: </w:t>
      </w:r>
      <w:r>
        <w:tab/>
      </w:r>
      <w:r>
        <w:tab/>
      </w:r>
      <w:r>
        <w:tab/>
        <w:t xml:space="preserve">Das Mineralwasser (ca. 10-20 </w:t>
      </w:r>
      <w:proofErr w:type="spellStart"/>
      <w:r>
        <w:t>mL</w:t>
      </w:r>
      <w:proofErr w:type="spellEnd"/>
      <w:r>
        <w:t xml:space="preserve">) wird in ein Becherglas gefüllt und mit einer Spritze aus Kunststoff aufgezogen. Die Spritze wird anschließend verschlossen, sodass kein Wasser mehr herauslaufen kann. Mit dem Ziehen an dem Kolben der Spritze kann nun der Druck im Innern erniedrigt werden. Durch das Hereindrücken des Kolbens wird der Druck wieder erhöht. </w:t>
      </w:r>
    </w:p>
    <w:p w:rsidR="00C82A32" w:rsidRDefault="00C82A32" w:rsidP="00C82A32">
      <w:pPr>
        <w:tabs>
          <w:tab w:val="left" w:pos="1701"/>
          <w:tab w:val="left" w:pos="1985"/>
        </w:tabs>
        <w:ind w:left="1980" w:hanging="1980"/>
      </w:pPr>
      <w:r>
        <w:t>Beobachtung:</w:t>
      </w:r>
      <w:r>
        <w:tab/>
      </w:r>
      <w:r>
        <w:tab/>
      </w:r>
      <w:r>
        <w:tab/>
        <w:t>Bei niedrigerem Umgebungsdruck ist eine große und erhöhte Blasenbildung zu erkennen. Bei abermaliger Erhöhung des Drucks stoppt die Gasbildung und die Blasen verkleinern sich deutlich.</w:t>
      </w:r>
    </w:p>
    <w:p w:rsidR="00C82A32" w:rsidRDefault="00C82A32" w:rsidP="00C82A32">
      <w:pPr>
        <w:keepNext/>
        <w:tabs>
          <w:tab w:val="left" w:pos="1701"/>
          <w:tab w:val="left" w:pos="1985"/>
        </w:tabs>
        <w:ind w:left="1980" w:hanging="1980"/>
        <w:jc w:val="center"/>
      </w:pPr>
      <w:bookmarkStart w:id="1" w:name="_GoBack"/>
      <w:r>
        <w:rPr>
          <w:noProof/>
          <w:color w:val="FF0000"/>
          <w:lang w:eastAsia="de-DE"/>
        </w:rPr>
        <w:lastRenderedPageBreak/>
        <w:drawing>
          <wp:inline distT="0" distB="0" distL="0" distR="0" wp14:anchorId="55CD02A1" wp14:editId="34EAC5E6">
            <wp:extent cx="2476500" cy="2301245"/>
            <wp:effectExtent l="0" t="0" r="0" b="381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aslöslichkeit Druck.png"/>
                    <pic:cNvPicPr/>
                  </pic:nvPicPr>
                  <pic:blipFill>
                    <a:blip r:embed="rId15" cstate="print">
                      <a:extLst>
                        <a:ext uri="{28A0092B-C50C-407E-A947-70E740481C1C}">
                          <a14:useLocalDpi xmlns:a14="http://schemas.microsoft.com/office/drawing/2010/main"/>
                        </a:ext>
                      </a:extLst>
                    </a:blip>
                    <a:stretch>
                      <a:fillRect/>
                    </a:stretch>
                  </pic:blipFill>
                  <pic:spPr>
                    <a:xfrm>
                      <a:off x="0" y="0"/>
                      <a:ext cx="2482026" cy="2306380"/>
                    </a:xfrm>
                    <a:prstGeom prst="rect">
                      <a:avLst/>
                    </a:prstGeom>
                  </pic:spPr>
                </pic:pic>
              </a:graphicData>
            </a:graphic>
          </wp:inline>
        </w:drawing>
      </w:r>
      <w:bookmarkEnd w:id="1"/>
    </w:p>
    <w:p w:rsidR="00C82A32" w:rsidRPr="006B1D28" w:rsidRDefault="00C82A32" w:rsidP="00C82A32">
      <w:pPr>
        <w:pStyle w:val="Beschriftung"/>
        <w:jc w:val="center"/>
        <w:rPr>
          <w:color w:val="FF0000"/>
        </w:rPr>
      </w:pPr>
      <w:r>
        <w:t xml:space="preserve">Abbildung </w:t>
      </w:r>
      <w:fldSimple w:instr=" SEQ Abbildung \* ARABIC ">
        <w:r>
          <w:rPr>
            <w:noProof/>
          </w:rPr>
          <w:t>4</w:t>
        </w:r>
      </w:fldSimple>
      <w:r>
        <w:t xml:space="preserve"> – Versuchsdurchführung – Blasenbildung bei geringerem Druck.</w:t>
      </w:r>
    </w:p>
    <w:p w:rsidR="00C82A32" w:rsidRDefault="00C82A32" w:rsidP="00C82A32">
      <w:pPr>
        <w:tabs>
          <w:tab w:val="left" w:pos="1701"/>
          <w:tab w:val="left" w:pos="1985"/>
        </w:tabs>
        <w:ind w:left="1985" w:hanging="1985"/>
      </w:pPr>
      <w:r>
        <w:t>Deutung:</w:t>
      </w:r>
      <w:r>
        <w:tab/>
      </w:r>
      <w:r>
        <w:tab/>
        <w:t xml:space="preserve">Durch die Gleichgewichtsverschiebung der Reaktion </w:t>
      </w:r>
    </w:p>
    <w:p w:rsidR="00C82A32" w:rsidRDefault="00C82A32" w:rsidP="00C82A32">
      <w:pPr>
        <w:tabs>
          <w:tab w:val="left" w:pos="1701"/>
          <w:tab w:val="left" w:pos="1985"/>
        </w:tabs>
        <w:ind w:left="1985" w:hanging="1985"/>
        <w:rPr>
          <w:rFonts w:eastAsiaTheme="minorEastAsia"/>
        </w:rPr>
      </w:pPr>
      <w:r>
        <w:rPr>
          <w:rFonts w:eastAsiaTheme="minorEastAsia"/>
        </w:rPr>
        <w:t xml:space="preserve"> </w:t>
      </w:r>
      <w:r>
        <w:rPr>
          <w:rFonts w:eastAsiaTheme="minorEastAsia"/>
        </w:rPr>
        <w:tab/>
      </w:r>
      <w:r>
        <w:rPr>
          <w:rFonts w:eastAsiaTheme="minorEastAsia"/>
        </w:rPr>
        <w:tab/>
      </w:r>
      <m:oMath>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oMath>
      <w:r>
        <w:rPr>
          <w:rFonts w:eastAsiaTheme="minorEastAsia"/>
        </w:rPr>
        <w:t xml:space="preserve">⇌ </w:t>
      </w:r>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3</m:t>
                </m:r>
              </m:sub>
            </m:sSub>
          </m:e>
          <m:sub>
            <m:r>
              <w:rPr>
                <w:rFonts w:ascii="Cambria Math" w:eastAsiaTheme="minorEastAsia" w:hAnsi="Cambria Math"/>
              </w:rPr>
              <m:t>(aq)</m:t>
            </m:r>
          </m:sub>
        </m:sSub>
      </m:oMath>
      <w:r>
        <w:rPr>
          <w:rFonts w:eastAsiaTheme="minorEastAsia"/>
        </w:rPr>
        <w:t xml:space="preserve"> </w:t>
      </w:r>
    </w:p>
    <w:p w:rsidR="00C82A32" w:rsidRDefault="00C82A32" w:rsidP="00C82A32">
      <w:pPr>
        <w:tabs>
          <w:tab w:val="left" w:pos="1701"/>
          <w:tab w:val="left" w:pos="1985"/>
        </w:tabs>
        <w:ind w:left="1985" w:hanging="1985"/>
        <w:rPr>
          <w:rFonts w:eastAsiaTheme="minorEastAsia"/>
        </w:rPr>
      </w:pPr>
      <w:r>
        <w:rPr>
          <w:rFonts w:eastAsiaTheme="minorEastAsia"/>
        </w:rPr>
        <w:tab/>
      </w:r>
      <w:r>
        <w:rPr>
          <w:rFonts w:eastAsiaTheme="minorEastAsia"/>
        </w:rPr>
        <w:tab/>
        <w:t>wird bei einer Druckerniedrigung das  Gleichgewicht auf die Seite der Edukte verschoben, da hier mehr Volumen eingenommen wird. Eine Druckerhöhung verschiebt die Reaktion auf die Seite der Produkte, da hier weniger Volumen eingenommen wird.</w:t>
      </w:r>
    </w:p>
    <w:p w:rsidR="00C82A32" w:rsidRDefault="00C82A32" w:rsidP="00C82A32">
      <w:pPr>
        <w:tabs>
          <w:tab w:val="left" w:pos="1701"/>
          <w:tab w:val="left" w:pos="1985"/>
        </w:tabs>
        <w:ind w:left="1985" w:hanging="1985"/>
        <w:rPr>
          <w:rFonts w:eastAsiaTheme="minorEastAsia"/>
        </w:rPr>
      </w:pPr>
      <w:r>
        <w:rPr>
          <w:rFonts w:eastAsiaTheme="minorEastAsia"/>
        </w:rPr>
        <w:t>Entsorgung:</w:t>
      </w:r>
      <w:r>
        <w:rPr>
          <w:rFonts w:eastAsiaTheme="minorEastAsia"/>
        </w:rPr>
        <w:tab/>
      </w:r>
      <w:r>
        <w:rPr>
          <w:rFonts w:eastAsiaTheme="minorEastAsia"/>
        </w:rPr>
        <w:tab/>
        <w:t>Die Entsorgung erfolgt über den Abfluss.</w:t>
      </w:r>
    </w:p>
    <w:p w:rsidR="00C82A32" w:rsidRDefault="00C82A32" w:rsidP="00C82A32">
      <w:pPr>
        <w:tabs>
          <w:tab w:val="left" w:pos="1701"/>
          <w:tab w:val="left" w:pos="1985"/>
        </w:tabs>
        <w:ind w:left="1985" w:hanging="1985"/>
        <w:rPr>
          <w:noProof/>
          <w:lang w:eastAsia="de-DE"/>
        </w:rPr>
      </w:pPr>
      <w:r>
        <w:rPr>
          <w:rFonts w:eastAsiaTheme="minorEastAsia"/>
        </w:rPr>
        <w:t>Literatur:</w:t>
      </w:r>
      <w:r>
        <w:rPr>
          <w:rFonts w:eastAsiaTheme="minorEastAsia"/>
        </w:rPr>
        <w:tab/>
      </w:r>
      <w:r>
        <w:rPr>
          <w:rFonts w:eastAsiaTheme="minorEastAsia"/>
        </w:rPr>
        <w:tab/>
      </w:r>
      <w:r>
        <w:rPr>
          <w:rFonts w:asciiTheme="majorHAnsi" w:hAnsiTheme="majorHAnsi"/>
        </w:rPr>
        <w:t xml:space="preserve">„Vorbereitung des Kernpraktikums“, 2007, Westfälische Wilhelms-Universität Münster verfügbar unter </w:t>
      </w:r>
      <w:r w:rsidRPr="001646BA">
        <w:rPr>
          <w:rFonts w:asciiTheme="majorHAnsi" w:hAnsiTheme="majorHAnsi"/>
        </w:rPr>
        <w:t>http://www.uni-muenster.de/imperia/md/content/didaktik_der_chemie/</w:t>
      </w:r>
      <w:r>
        <w:rPr>
          <w:rFonts w:asciiTheme="majorHAnsi" w:hAnsiTheme="majorHAnsi"/>
        </w:rPr>
        <w:t xml:space="preserve"> </w:t>
      </w:r>
      <w:r w:rsidRPr="001646BA">
        <w:rPr>
          <w:rFonts w:asciiTheme="majorHAnsi" w:hAnsiTheme="majorHAnsi"/>
        </w:rPr>
        <w:t>kernpraktikumfriese/loeslichkeit_von_gasen_in_wasser__kohlenstoffdioxid_.pdf</w:t>
      </w:r>
      <w:r>
        <w:rPr>
          <w:rFonts w:asciiTheme="majorHAnsi" w:hAnsiTheme="majorHAnsi"/>
        </w:rPr>
        <w:t xml:space="preserve"> </w:t>
      </w:r>
      <w:r w:rsidRPr="00B937A2">
        <w:rPr>
          <w:rFonts w:asciiTheme="majorHAnsi" w:hAnsiTheme="majorHAnsi"/>
        </w:rPr>
        <w:t>(</w:t>
      </w:r>
      <w:r>
        <w:rPr>
          <w:rFonts w:asciiTheme="majorHAnsi" w:hAnsiTheme="majorHAnsi"/>
        </w:rPr>
        <w:t>Zuletzt abgerufen am 20</w:t>
      </w:r>
      <w:r w:rsidRPr="00B937A2">
        <w:rPr>
          <w:rFonts w:asciiTheme="majorHAnsi" w:hAnsiTheme="majorHAnsi"/>
        </w:rPr>
        <w:t>.</w:t>
      </w:r>
      <w:r>
        <w:rPr>
          <w:rFonts w:asciiTheme="majorHAnsi" w:hAnsiTheme="majorHAnsi"/>
        </w:rPr>
        <w:t>07</w:t>
      </w:r>
      <w:r w:rsidRPr="00B937A2">
        <w:rPr>
          <w:rFonts w:asciiTheme="majorHAnsi" w:hAnsiTheme="majorHAnsi"/>
        </w:rPr>
        <w:t>.201</w:t>
      </w:r>
      <w:r>
        <w:rPr>
          <w:rFonts w:asciiTheme="majorHAnsi" w:hAnsiTheme="majorHAnsi"/>
        </w:rPr>
        <w:t>6</w:t>
      </w:r>
      <w:r w:rsidRPr="00B937A2">
        <w:rPr>
          <w:rFonts w:asciiTheme="majorHAnsi" w:hAnsiTheme="majorHAnsi"/>
        </w:rPr>
        <w:t xml:space="preserve"> </w:t>
      </w:r>
      <w:r>
        <w:rPr>
          <w:rFonts w:asciiTheme="majorHAnsi" w:hAnsiTheme="majorHAnsi"/>
        </w:rPr>
        <w:t>um 16:36Uhr).</w:t>
      </w:r>
      <w:r w:rsidRPr="006B1D28">
        <w:rPr>
          <w:noProof/>
          <w:lang w:eastAsia="de-DE"/>
        </w:rPr>
        <w:t xml:space="preserve"> </w:t>
      </w:r>
    </w:p>
    <w:p w:rsidR="00C82A32" w:rsidRDefault="00C82A32" w:rsidP="00C82A32">
      <w:pPr>
        <w:tabs>
          <w:tab w:val="left" w:pos="1701"/>
          <w:tab w:val="left" w:pos="1985"/>
        </w:tabs>
        <w:ind w:left="1985" w:hanging="1985"/>
        <w:rPr>
          <w:noProof/>
          <w:lang w:eastAsia="de-DE"/>
        </w:rPr>
      </w:pPr>
      <w:r>
        <w:rPr>
          <w:noProof/>
          <w:lang w:eastAsia="de-DE"/>
        </w:rPr>
        <mc:AlternateContent>
          <mc:Choice Requires="wps">
            <w:drawing>
              <wp:anchor distT="0" distB="0" distL="114300" distR="114300" simplePos="0" relativeHeight="251660288" behindDoc="0" locked="0" layoutInCell="1" allowOverlap="1" wp14:anchorId="0691B663" wp14:editId="1F0E9C48">
                <wp:simplePos x="0" y="0"/>
                <wp:positionH relativeFrom="column">
                  <wp:posOffset>-185420</wp:posOffset>
                </wp:positionH>
                <wp:positionV relativeFrom="paragraph">
                  <wp:posOffset>67945</wp:posOffset>
                </wp:positionV>
                <wp:extent cx="6096000" cy="1009650"/>
                <wp:effectExtent l="0" t="0" r="19050" b="1905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096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2A32" w:rsidRPr="00F31EBF" w:rsidRDefault="00C82A32" w:rsidP="00C82A32">
                            <w:pPr>
                              <w:rPr>
                                <w:color w:val="auto"/>
                              </w:rPr>
                            </w:pPr>
                            <w:r w:rsidRPr="00F31EBF">
                              <w:rPr>
                                <w:b/>
                                <w:color w:val="auto"/>
                              </w:rPr>
                              <w:t xml:space="preserve">Unterrichtsanschlüsse </w:t>
                            </w:r>
                            <w:r>
                              <w:rPr>
                                <w:color w:val="auto"/>
                              </w:rPr>
                              <w:t>An dieser Stelle einer Unterrichtseinheit können nun die verschiedenen Aspekte der Gaslöslichkeit verbunden werden und z.B. der Alltagsbezug zu einer Mineralwasserflasche in der Sonne oder das Kohlenstoffdioxidvorkommen im Meer thematisiert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left:0;text-align:left;margin-left:-14.6pt;margin-top:5.35pt;width:480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" strokecolor="#c0504d" strokeweight="1pt">
                <v:stroke dashstyle="dash"/>
                <v:shadow color="#868686"/>
                <v:textbox>
                  <w:txbxContent>
                    <w:p w:rsidR="00C82A32" w:rsidRPr="00F31EBF" w:rsidRDefault="00C82A32" w:rsidP="00C82A32">
                      <w:pPr>
                        <w:rPr>
                          <w:color w:val="auto"/>
                        </w:rPr>
                      </w:pPr>
                      <w:r w:rsidRPr="00F31EBF">
                        <w:rPr>
                          <w:b/>
                          <w:color w:val="auto"/>
                        </w:rPr>
                        <w:t xml:space="preserve">Unterrichtsanschlüsse </w:t>
                      </w:r>
                      <w:r>
                        <w:rPr>
                          <w:color w:val="auto"/>
                        </w:rPr>
                        <w:t>An dieser Stelle einer Unterrichtseinheit können nun die verschiedenen Aspekte der Gaslöslichkeit verbunden werden und z.B. der Alltagsbezug zu einer Mineralwasserflasche in der Sonne oder das Kohlenstoffdioxidvorkommen im Meer thematisiert werden.</w:t>
                      </w:r>
                    </w:p>
                  </w:txbxContent>
                </v:textbox>
              </v:shape>
            </w:pict>
          </mc:Fallback>
        </mc:AlternateContent>
      </w:r>
    </w:p>
    <w:p w:rsidR="00C82A32" w:rsidRPr="001646BA" w:rsidRDefault="00C82A32" w:rsidP="00C82A32">
      <w:pPr>
        <w:tabs>
          <w:tab w:val="left" w:pos="1701"/>
          <w:tab w:val="left" w:pos="1985"/>
        </w:tabs>
        <w:ind w:left="1985" w:hanging="1985"/>
      </w:pPr>
    </w:p>
    <w:p w:rsidR="001D5523" w:rsidRDefault="001D5523"/>
    <w:sectPr w:rsidR="001D5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32"/>
    <w:rsid w:val="001D5523"/>
    <w:rsid w:val="006F6D39"/>
    <w:rsid w:val="00C82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A3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82A3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82A3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82A3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82A3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82A3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2A3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2A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2A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82A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2A3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82A3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82A3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82A3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82A3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82A3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82A3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82A3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82A3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82A3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82A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A32"/>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A3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82A3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82A3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82A3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82A3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82A3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2A3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2A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2A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82A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2A3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82A3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82A3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82A3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82A3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82A3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82A3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82A3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82A3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82A3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82A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A32"/>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dc:creator>
  <cp:lastModifiedBy>Tabea</cp:lastModifiedBy>
  <cp:revision>2</cp:revision>
  <dcterms:created xsi:type="dcterms:W3CDTF">2016-08-09T07:19:00Z</dcterms:created>
  <dcterms:modified xsi:type="dcterms:W3CDTF">2016-08-09T12:12:00Z</dcterms:modified>
</cp:coreProperties>
</file>