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C8" w:rsidRPr="00984EF9" w:rsidRDefault="00E24EC8" w:rsidP="00E24EC8">
      <w:pPr>
        <w:pStyle w:val="berschrift1"/>
        <w:numPr>
          <w:ilvl w:val="0"/>
          <w:numId w:val="0"/>
        </w:numPr>
        <w:ind w:left="432" w:hanging="432"/>
      </w:pPr>
      <w:bookmarkStart w:id="0" w:name="_Toc456885458"/>
      <w:r>
        <w:rPr>
          <w:noProof/>
          <w:lang w:eastAsia="de-D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613257</wp:posOffset>
                </wp:positionV>
                <wp:extent cx="5873115" cy="299085"/>
                <wp:effectExtent l="0" t="0" r="13335" b="2476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9908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4EC8" w:rsidRPr="00F31EBF" w:rsidRDefault="00E24EC8" w:rsidP="00E24EC8">
                            <w:pPr>
                              <w:rPr>
                                <w:color w:val="auto"/>
                              </w:rPr>
                            </w:pPr>
                            <w:r>
                              <w:rPr>
                                <w:color w:val="auto"/>
                              </w:rPr>
                              <w:t xml:space="preserve">Für die Deutung wäre wünschenswert, dass die </w:t>
                            </w:r>
                            <w:proofErr w:type="spellStart"/>
                            <w:r>
                              <w:rPr>
                                <w:color w:val="auto"/>
                              </w:rPr>
                              <w:t>SuS</w:t>
                            </w:r>
                            <w:proofErr w:type="spellEnd"/>
                            <w:r>
                              <w:rPr>
                                <w:color w:val="auto"/>
                              </w:rPr>
                              <w:t xml:space="preserve"> die Aggregatzustände bereits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0;margin-top:48.3pt;width:462.45pt;height:23.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" fillcolor="white [3201]" strokecolor="#4472c4 [3208]" strokeweight="1pt">
                <v:stroke dashstyle="dash"/>
                <v:shadow color="#868686"/>
                <v:textbox>
                  <w:txbxContent>
                    <w:p w:rsidR="00E24EC8" w:rsidRPr="00F31EBF" w:rsidRDefault="00E24EC8" w:rsidP="00E24EC8">
                      <w:pPr>
                        <w:rPr>
                          <w:color w:val="auto"/>
                        </w:rPr>
                      </w:pPr>
                      <w:r>
                        <w:rPr>
                          <w:color w:val="auto"/>
                        </w:rPr>
                        <w:t xml:space="preserve">Für die Deutung wäre wünschenswert, dass die </w:t>
                      </w:r>
                      <w:proofErr w:type="spellStart"/>
                      <w:r>
                        <w:rPr>
                          <w:color w:val="auto"/>
                        </w:rPr>
                        <w:t>SuS</w:t>
                      </w:r>
                      <w:proofErr w:type="spellEnd"/>
                      <w:r>
                        <w:rPr>
                          <w:color w:val="auto"/>
                        </w:rPr>
                        <w:t xml:space="preserve"> die Aggregatzustände bereits kennen.</w:t>
                      </w:r>
                    </w:p>
                  </w:txbxContent>
                </v:textbox>
                <w10:wrap type="square" anchorx="margin"/>
              </v:shape>
            </w:pict>
          </mc:Fallback>
        </mc:AlternateContent>
      </w:r>
      <w:bookmarkStart w:id="1" w:name="_GoBack"/>
      <w:bookmarkEnd w:id="1"/>
      <w:r>
        <w:t>V3 – Plastik umformen</w:t>
      </w:r>
      <w:bookmarkEnd w:id="0"/>
    </w:p>
    <w:p w:rsidR="00E24EC8" w:rsidRDefault="00E24EC8" w:rsidP="00E24EC8">
      <w:pPr>
        <w:pStyle w:val="berschrift2"/>
        <w:numPr>
          <w:ilvl w:val="0"/>
          <w:numId w:val="0"/>
        </w:numPr>
        <w:spacing w:after="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24EC8" w:rsidRPr="009C5E28" w:rsidTr="00CE3A44">
        <w:tc>
          <w:tcPr>
            <w:tcW w:w="9322" w:type="dxa"/>
            <w:gridSpan w:val="9"/>
            <w:shd w:val="clear" w:color="auto" w:fill="4F81BD"/>
            <w:vAlign w:val="center"/>
          </w:tcPr>
          <w:p w:rsidR="00E24EC8" w:rsidRPr="00F31EBF" w:rsidRDefault="00E24EC8" w:rsidP="00CE3A44">
            <w:pPr>
              <w:spacing w:after="0"/>
              <w:jc w:val="center"/>
              <w:rPr>
                <w:b/>
                <w:bCs/>
                <w:color w:val="FFFFFF" w:themeColor="background1"/>
              </w:rPr>
            </w:pPr>
            <w:r w:rsidRPr="00F31EBF">
              <w:rPr>
                <w:b/>
                <w:bCs/>
                <w:color w:val="FFFFFF" w:themeColor="background1"/>
              </w:rPr>
              <w:t>Gefahrenstoffe</w:t>
            </w:r>
          </w:p>
        </w:tc>
      </w:tr>
      <w:tr w:rsidR="00E24EC8" w:rsidRPr="009C5E28" w:rsidTr="00CE3A4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24EC8" w:rsidRPr="009C5E28" w:rsidRDefault="00E24EC8" w:rsidP="00CE3A44">
            <w:pPr>
              <w:spacing w:after="0" w:line="276" w:lineRule="auto"/>
              <w:jc w:val="center"/>
              <w:rPr>
                <w:b/>
                <w:bCs/>
              </w:rPr>
            </w:pPr>
            <w:r>
              <w:rPr>
                <w:sz w:val="20"/>
              </w:rPr>
              <w:t>Polyethylen</w:t>
            </w:r>
          </w:p>
        </w:tc>
        <w:tc>
          <w:tcPr>
            <w:tcW w:w="3177" w:type="dxa"/>
            <w:gridSpan w:val="3"/>
            <w:tcBorders>
              <w:top w:val="single" w:sz="8" w:space="0" w:color="4F81BD"/>
              <w:bottom w:val="single" w:sz="8" w:space="0" w:color="4F81BD"/>
            </w:tcBorders>
            <w:shd w:val="clear" w:color="auto" w:fill="auto"/>
            <w:vAlign w:val="center"/>
          </w:tcPr>
          <w:p w:rsidR="00E24EC8" w:rsidRPr="009C5E28" w:rsidRDefault="00E24EC8" w:rsidP="00CE3A44">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24EC8" w:rsidRPr="009C5E28" w:rsidRDefault="00E24EC8" w:rsidP="00CE3A44">
            <w:pPr>
              <w:spacing w:after="0"/>
              <w:jc w:val="center"/>
            </w:pPr>
            <w:r>
              <w:rPr>
                <w:sz w:val="20"/>
              </w:rPr>
              <w:t>-</w:t>
            </w:r>
          </w:p>
        </w:tc>
      </w:tr>
      <w:tr w:rsidR="00E24EC8" w:rsidRPr="009C5E28" w:rsidTr="00CE3A44">
        <w:tc>
          <w:tcPr>
            <w:tcW w:w="1009" w:type="dxa"/>
            <w:tcBorders>
              <w:top w:val="single" w:sz="8" w:space="0" w:color="4F81BD"/>
              <w:left w:val="single" w:sz="8" w:space="0" w:color="4F81BD"/>
              <w:bottom w:val="single" w:sz="8" w:space="0" w:color="4F81BD"/>
            </w:tcBorders>
            <w:shd w:val="clear" w:color="auto" w:fill="auto"/>
            <w:vAlign w:val="center"/>
          </w:tcPr>
          <w:p w:rsidR="00E24EC8" w:rsidRPr="009C5E28" w:rsidRDefault="00E24EC8" w:rsidP="00CE3A44">
            <w:pPr>
              <w:spacing w:after="0"/>
              <w:jc w:val="center"/>
              <w:rPr>
                <w:b/>
                <w:bCs/>
              </w:rPr>
            </w:pPr>
            <w:r>
              <w:rPr>
                <w:b/>
                <w:noProof/>
                <w:lang w:eastAsia="de-DE"/>
              </w:rPr>
              <w:drawing>
                <wp:inline distT="0" distB="0" distL="0" distR="0" wp14:anchorId="6FB7CFF6" wp14:editId="79B204CD">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duotone>
                              <a:schemeClr val="bg2">
                                <a:shade val="45000"/>
                                <a:satMod val="135000"/>
                              </a:schemeClr>
                              <a:prstClr val="white"/>
                            </a:duotone>
                            <a:extLst>
                              <a:ext uri="{BEBA8EAE-BF5A-486C-A8C5-ECC9F3942E4B}">
                                <a14:imgProps xmlns:a14="http://schemas.microsoft.com/office/drawing/2010/main">
                                  <a14:imgLayer r:embed="rId6">
                                    <a14:imgEffect>
                                      <a14:colorTemperature colorTemp="880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4EC8" w:rsidRPr="009C5E28" w:rsidRDefault="00E24EC8" w:rsidP="00CE3A44">
            <w:pPr>
              <w:spacing w:after="0"/>
              <w:jc w:val="center"/>
            </w:pPr>
            <w:r>
              <w:rPr>
                <w:noProof/>
                <w:lang w:eastAsia="de-DE"/>
              </w:rPr>
              <w:drawing>
                <wp:inline distT="0" distB="0" distL="0" distR="0" wp14:anchorId="3D6F372A" wp14:editId="6EA4287C">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4EC8" w:rsidRPr="009C5E28" w:rsidRDefault="00E24EC8" w:rsidP="00CE3A44">
            <w:pPr>
              <w:spacing w:after="0"/>
              <w:jc w:val="center"/>
            </w:pPr>
            <w:r>
              <w:rPr>
                <w:noProof/>
                <w:lang w:eastAsia="de-DE"/>
              </w:rPr>
              <w:drawing>
                <wp:inline distT="0" distB="0" distL="0" distR="0" wp14:anchorId="2AB22245" wp14:editId="0ED98969">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4EC8" w:rsidRPr="009C5E28" w:rsidRDefault="00E24EC8" w:rsidP="00CE3A44">
            <w:pPr>
              <w:spacing w:after="0"/>
              <w:jc w:val="center"/>
            </w:pPr>
            <w:r>
              <w:rPr>
                <w:noProof/>
                <w:lang w:eastAsia="de-DE"/>
              </w:rPr>
              <w:drawing>
                <wp:inline distT="0" distB="0" distL="0" distR="0" wp14:anchorId="4A793A8A" wp14:editId="27C79F38">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24EC8" w:rsidRPr="009C5E28" w:rsidRDefault="00E24EC8" w:rsidP="00CE3A44">
            <w:pPr>
              <w:spacing w:after="0"/>
              <w:jc w:val="center"/>
            </w:pPr>
            <w:r>
              <w:rPr>
                <w:noProof/>
                <w:lang w:eastAsia="de-DE"/>
              </w:rPr>
              <w:drawing>
                <wp:inline distT="0" distB="0" distL="0" distR="0" wp14:anchorId="3033EE14" wp14:editId="53413AB9">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24EC8" w:rsidRPr="009C5E28" w:rsidRDefault="00E24EC8" w:rsidP="00CE3A44">
            <w:pPr>
              <w:spacing w:after="0"/>
              <w:jc w:val="center"/>
            </w:pPr>
            <w:r>
              <w:rPr>
                <w:noProof/>
                <w:lang w:eastAsia="de-DE"/>
              </w:rPr>
              <w:drawing>
                <wp:inline distT="0" distB="0" distL="0" distR="0" wp14:anchorId="0876B3A9" wp14:editId="4CD715D0">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24EC8" w:rsidRPr="009C5E28" w:rsidRDefault="00E24EC8" w:rsidP="00CE3A44">
            <w:pPr>
              <w:spacing w:after="0"/>
              <w:jc w:val="center"/>
            </w:pPr>
            <w:r>
              <w:rPr>
                <w:noProof/>
                <w:lang w:eastAsia="de-DE"/>
              </w:rPr>
              <w:drawing>
                <wp:inline distT="0" distB="0" distL="0" distR="0" wp14:anchorId="726CA7F9" wp14:editId="4D74EC60">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4EC8" w:rsidRPr="009C5E28" w:rsidRDefault="00E24EC8" w:rsidP="00CE3A44">
            <w:pPr>
              <w:spacing w:after="0"/>
              <w:jc w:val="center"/>
            </w:pPr>
            <w:r>
              <w:rPr>
                <w:noProof/>
                <w:lang w:eastAsia="de-DE"/>
              </w:rPr>
              <w:drawing>
                <wp:inline distT="0" distB="0" distL="0" distR="0" wp14:anchorId="199CEE87" wp14:editId="347767BE">
                  <wp:extent cx="511175" cy="5111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duotone>
                              <a:schemeClr val="bg2">
                                <a:shade val="45000"/>
                                <a:satMod val="135000"/>
                              </a:schemeClr>
                              <a:prstClr val="white"/>
                            </a:duotone>
                            <a:extLst>
                              <a:ext uri="{BEBA8EAE-BF5A-486C-A8C5-ECC9F3942E4B}">
                                <a14:imgProps xmlns:a14="http://schemas.microsoft.com/office/drawing/2010/main">
                                  <a14:imgLayer r:embed="rId14">
                                    <a14:imgEffect>
                                      <a14:colorTemperature colorTemp="880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24EC8" w:rsidRPr="009C5E28" w:rsidRDefault="00E24EC8" w:rsidP="00CE3A44">
            <w:pPr>
              <w:spacing w:after="0"/>
              <w:jc w:val="center"/>
            </w:pPr>
            <w:r>
              <w:rPr>
                <w:noProof/>
                <w:lang w:eastAsia="de-DE"/>
              </w:rPr>
              <w:drawing>
                <wp:inline distT="0" distB="0" distL="0" distR="0" wp14:anchorId="63D3AE6D" wp14:editId="4AD77399">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24EC8" w:rsidRDefault="00E24EC8" w:rsidP="00E24EC8">
      <w:pPr>
        <w:tabs>
          <w:tab w:val="left" w:pos="1701"/>
          <w:tab w:val="left" w:pos="1985"/>
        </w:tabs>
        <w:ind w:left="1980" w:hanging="1980"/>
      </w:pPr>
    </w:p>
    <w:p w:rsidR="00E24EC8" w:rsidRDefault="00E24EC8" w:rsidP="00E24EC8">
      <w:pPr>
        <w:tabs>
          <w:tab w:val="left" w:pos="1701"/>
          <w:tab w:val="left" w:pos="1985"/>
        </w:tabs>
        <w:ind w:left="1980" w:hanging="1980"/>
      </w:pPr>
      <w:r>
        <w:t xml:space="preserve">Materialien: </w:t>
      </w:r>
      <w:r>
        <w:tab/>
      </w:r>
      <w:r>
        <w:tab/>
        <w:t>Gasbrenner, Dreifuß mit Keramikdrahtnetz, Ausstechform, Alufolie</w:t>
      </w:r>
    </w:p>
    <w:p w:rsidR="00E24EC8" w:rsidRPr="00ED07C2" w:rsidRDefault="00E24EC8" w:rsidP="00E24EC8">
      <w:pPr>
        <w:tabs>
          <w:tab w:val="left" w:pos="1701"/>
          <w:tab w:val="left" w:pos="1985"/>
        </w:tabs>
        <w:ind w:left="1980" w:hanging="1980"/>
      </w:pPr>
      <w:r>
        <w:t>Chemikalien:</w:t>
      </w:r>
      <w:r>
        <w:tab/>
      </w:r>
      <w:r>
        <w:tab/>
        <w:t>Polyethylen</w:t>
      </w:r>
    </w:p>
    <w:p w:rsidR="00E24EC8" w:rsidRDefault="00E24EC8" w:rsidP="00E24EC8">
      <w:pPr>
        <w:tabs>
          <w:tab w:val="left" w:pos="1701"/>
          <w:tab w:val="left" w:pos="1985"/>
        </w:tabs>
        <w:ind w:left="1980" w:hanging="1980"/>
      </w:pPr>
      <w:r>
        <w:t xml:space="preserve">Durchführung: </w:t>
      </w:r>
      <w:r>
        <w:tab/>
      </w:r>
      <w:r>
        <w:tab/>
        <w:t xml:space="preserve">Zuerst wird die Ausstechform mit Alufolie ausgelegt. Anschließend wird klein geschnittenes Polyethylen in die Form gefüllt und mit dem Gasbrenner vorsichtig erhitzt, bis es schmilzt. Anschließend muss das Polyethylen abkühlen, ehe es aus der Alufolie gelöst werden kann. </w:t>
      </w:r>
    </w:p>
    <w:p w:rsidR="00E24EC8" w:rsidRDefault="00E24EC8" w:rsidP="00E24EC8">
      <w:pPr>
        <w:tabs>
          <w:tab w:val="left" w:pos="1701"/>
          <w:tab w:val="left" w:pos="1985"/>
        </w:tabs>
        <w:spacing w:after="0"/>
        <w:ind w:left="1980" w:hanging="1980"/>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1433830</wp:posOffset>
                </wp:positionH>
                <wp:positionV relativeFrom="paragraph">
                  <wp:posOffset>3069590</wp:posOffset>
                </wp:positionV>
                <wp:extent cx="2962275" cy="280670"/>
                <wp:effectExtent l="0" t="4445" r="0" b="635"/>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EC8" w:rsidRPr="00F35DDF" w:rsidRDefault="00E24EC8" w:rsidP="00E24EC8">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w:t>
                            </w:r>
                            <w:r w:rsidRPr="008B634F">
                              <w:t>Becherglas mit zerkleinertem Plastikbecher und umgeformtes Polyethylen</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112.9pt;margin-top:241.7pt;width:233.25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l9fQIAAAY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" stroked="f">
                <v:textbox inset="0,0,0,0">
                  <w:txbxContent>
                    <w:p w:rsidR="00E24EC8" w:rsidRPr="00F35DDF" w:rsidRDefault="00E24EC8" w:rsidP="00E24EC8">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w:t>
                      </w:r>
                      <w:r w:rsidRPr="008B634F">
                        <w:t>Becherglas mit zerkleinertem Plastikbecher und umgeformtes Polyethylen</w:t>
                      </w:r>
                      <w:r>
                        <w:t>.</w:t>
                      </w:r>
                    </w:p>
                  </w:txbxContent>
                </v:textbox>
                <w10:wrap type="topAndBottom"/>
              </v:shape>
            </w:pict>
          </mc:Fallback>
        </mc:AlternateContent>
      </w:r>
      <w:r>
        <w:rPr>
          <w:noProof/>
          <w:lang w:eastAsia="de-DE"/>
        </w:rPr>
        <w:drawing>
          <wp:anchor distT="0" distB="0" distL="114300" distR="114300" simplePos="0" relativeHeight="251659264" behindDoc="0" locked="0" layoutInCell="1" allowOverlap="1" wp14:anchorId="467A92EB" wp14:editId="67630F25">
            <wp:simplePos x="0" y="0"/>
            <wp:positionH relativeFrom="column">
              <wp:posOffset>1452880</wp:posOffset>
            </wp:positionH>
            <wp:positionV relativeFrom="paragraph">
              <wp:posOffset>797560</wp:posOffset>
            </wp:positionV>
            <wp:extent cx="2952750" cy="2254250"/>
            <wp:effectExtent l="57150" t="57150" r="95250" b="8890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2952750" cy="225425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Beobachtung:</w:t>
      </w:r>
      <w:r>
        <w:tab/>
      </w:r>
      <w:r>
        <w:tab/>
      </w:r>
      <w:r>
        <w:tab/>
        <w:t>Das Polyethylen erweicht nach einigen Minuten und sintert zusammen. Nach dem Abkühlen ist es nicht mehr farblos und klar, sondern leicht weißlich.</w:t>
      </w:r>
    </w:p>
    <w:p w:rsidR="00E24EC8" w:rsidRPr="00074A34" w:rsidRDefault="00E24EC8" w:rsidP="00E24EC8">
      <w:pPr>
        <w:tabs>
          <w:tab w:val="left" w:pos="1701"/>
          <w:tab w:val="left" w:pos="1985"/>
        </w:tabs>
        <w:spacing w:before="120"/>
        <w:ind w:left="2124" w:hanging="2124"/>
      </w:pPr>
      <w:r>
        <w:t>Deutung:</w:t>
      </w:r>
      <w:r>
        <w:tab/>
      </w:r>
      <w:r>
        <w:tab/>
      </w:r>
      <w:r>
        <w:tab/>
        <w:t>Polyethylen verbrennt nicht. Es ändert schmilzt lediglich, d.h. es ändert seinen Aggregatzustand von fest zu flüssig.</w:t>
      </w:r>
    </w:p>
    <w:p w:rsidR="00E24EC8" w:rsidRDefault="00E24EC8" w:rsidP="00E24EC8">
      <w:pPr>
        <w:spacing w:line="276" w:lineRule="auto"/>
        <w:jc w:val="left"/>
      </w:pPr>
      <w:r>
        <w:t>Entsorgung:</w:t>
      </w:r>
      <w:r>
        <w:tab/>
        <w:t xml:space="preserve">           </w:t>
      </w:r>
      <w:r>
        <w:tab/>
        <w:t>Alufolie und Polyethylen können im Hausmüll entsorgt werden.</w:t>
      </w:r>
    </w:p>
    <w:p w:rsidR="00E24EC8" w:rsidRPr="006A5EB0" w:rsidRDefault="00E24EC8" w:rsidP="00E24EC8">
      <w:pPr>
        <w:tabs>
          <w:tab w:val="left" w:pos="1701"/>
          <w:tab w:val="left" w:pos="1985"/>
        </w:tabs>
        <w:ind w:left="2124" w:hanging="2124"/>
      </w:pPr>
      <w:r>
        <w:lastRenderedPageBreak/>
        <w:t>Literatur:</w:t>
      </w:r>
      <w:r>
        <w:tab/>
      </w:r>
      <w:r>
        <w:tab/>
      </w:r>
      <w:r>
        <w:tab/>
        <w:t xml:space="preserve">Cornelsen Verlag GmbH (Hrsg.), Prof. </w:t>
      </w:r>
      <w:proofErr w:type="spellStart"/>
      <w:r>
        <w:t>Blumes</w:t>
      </w:r>
      <w:proofErr w:type="spellEnd"/>
      <w:r>
        <w:t xml:space="preserve"> Bildungsserver für Chemie, </w:t>
      </w:r>
      <w:hyperlink r:id="rId17" w:history="1">
        <w:r w:rsidRPr="002F68D1">
          <w:rPr>
            <w:rStyle w:val="Hyperlink"/>
          </w:rPr>
          <w:t>http://www.chemieunterricht.de/dc2/auto/a-v-ku01.htm</w:t>
        </w:r>
      </w:hyperlink>
      <w:r>
        <w:rPr>
          <w:color w:val="auto"/>
        </w:rPr>
        <w:t xml:space="preserve"> (Zuletzt abgerufen am 22.07.16).</w:t>
      </w:r>
    </w:p>
    <w:p w:rsidR="00E24EC8" w:rsidRPr="006E32AF" w:rsidRDefault="00E24EC8" w:rsidP="00E24EC8">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1381760"/>
                <wp:effectExtent l="13970" t="8890" r="8890" b="952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8176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4EC8" w:rsidRDefault="00E24EC8" w:rsidP="00E24EC8">
                            <w:pPr>
                              <w:spacing w:after="0"/>
                            </w:pPr>
                            <w:r>
                              <w:t xml:space="preserve">Die durchsichtigen Plastik-Einmal-Becher bestehen zumeist aus Polyethylen und können auch von </w:t>
                            </w:r>
                            <w:proofErr w:type="spellStart"/>
                            <w:r>
                              <w:t>SuS</w:t>
                            </w:r>
                            <w:proofErr w:type="spellEnd"/>
                            <w:r>
                              <w:t xml:space="preserve"> leicht zerkleinert werden, wodurch sie gut geeignet sind. Der Recycling-Code 02 kennzeichnet Polyethylene.</w:t>
                            </w:r>
                          </w:p>
                          <w:p w:rsidR="00E24EC8" w:rsidRDefault="00E24EC8" w:rsidP="00E24EC8">
                            <w:r>
                              <w:t xml:space="preserve">Im Anschluss an diesen Versuch kann Recycling diskutiert. </w:t>
                            </w:r>
                            <w:proofErr w:type="spellStart"/>
                            <w:r>
                              <w:t>Desweiteren</w:t>
                            </w:r>
                            <w:proofErr w:type="spellEnd"/>
                            <w:r>
                              <w:t xml:space="preserve"> sollten die </w:t>
                            </w:r>
                            <w:proofErr w:type="spellStart"/>
                            <w:r>
                              <w:t>SuS</w:t>
                            </w:r>
                            <w:proofErr w:type="spellEnd"/>
                            <w:r>
                              <w:t xml:space="preserve"> für die Wiederverwertbarkeit von Ressourcen sensibilisiert werden.</w:t>
                            </w:r>
                          </w:p>
                          <w:p w:rsidR="00E24EC8" w:rsidRPr="00F31EBF" w:rsidRDefault="00E24EC8" w:rsidP="00E24EC8">
                            <w:pPr>
                              <w:rPr>
                                <w:color w:val="auto"/>
                              </w:rPr>
                            </w:pPr>
                          </w:p>
                          <w:p w:rsidR="00E24EC8" w:rsidRPr="00F31EBF" w:rsidRDefault="00E24EC8" w:rsidP="00E24EC8">
                            <w:pPr>
                              <w:rPr>
                                <w:color w:val="auto"/>
                              </w:rPr>
                            </w:pPr>
                          </w:p>
                        </w:txbxContent>
                      </wps:txbx>
                      <wps:bodyPr rot="0" vert="horz" wrap="square" lIns="91440" tIns="45720" rIns="91440" bIns="45720" anchor="t" anchorCtr="0" upright="1">
                        <a:noAutofit/>
                      </wps:bodyPr>
                    </wps:wsp>
                  </a:graphicData>
                </a:graphic>
              </wp:inline>
            </w:drawing>
          </mc:Choice>
          <mc:Fallback>
            <w:pict>
              <v:shape id="Textfeld 1" o:spid="_x0000_s1028" type="#_x0000_t202" style="width:462.45pt;height:1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" fillcolor="white [3201]" strokecolor="#ed7d31 [3205]" strokeweight="1pt">
                <v:stroke dashstyle="dash"/>
                <v:shadow color="#868686"/>
                <v:textbox>
                  <w:txbxContent>
                    <w:p w:rsidR="00E24EC8" w:rsidRDefault="00E24EC8" w:rsidP="00E24EC8">
                      <w:pPr>
                        <w:spacing w:after="0"/>
                      </w:pPr>
                      <w:r>
                        <w:t xml:space="preserve">Die durchsichtigen Plastik-Einmal-Becher bestehen zumeist aus Polyethylen und können auch von </w:t>
                      </w:r>
                      <w:proofErr w:type="spellStart"/>
                      <w:r>
                        <w:t>SuS</w:t>
                      </w:r>
                      <w:proofErr w:type="spellEnd"/>
                      <w:r>
                        <w:t xml:space="preserve"> leicht zerkleinert werden, wodurch sie gut geeignet sind. Der Recycling-Code 02 kennzeichnet Polyethylene.</w:t>
                      </w:r>
                    </w:p>
                    <w:p w:rsidR="00E24EC8" w:rsidRDefault="00E24EC8" w:rsidP="00E24EC8">
                      <w:r>
                        <w:t xml:space="preserve">Im Anschluss an diesen Versuch kann Recycling diskutiert. </w:t>
                      </w:r>
                      <w:proofErr w:type="spellStart"/>
                      <w:r>
                        <w:t>Desweiteren</w:t>
                      </w:r>
                      <w:proofErr w:type="spellEnd"/>
                      <w:r>
                        <w:t xml:space="preserve"> sollten die </w:t>
                      </w:r>
                      <w:proofErr w:type="spellStart"/>
                      <w:r>
                        <w:t>SuS</w:t>
                      </w:r>
                      <w:proofErr w:type="spellEnd"/>
                      <w:r>
                        <w:t xml:space="preserve"> für die Wiederverwertbarkeit von Ressourcen sensibilisiert werden.</w:t>
                      </w:r>
                    </w:p>
                    <w:p w:rsidR="00E24EC8" w:rsidRPr="00F31EBF" w:rsidRDefault="00E24EC8" w:rsidP="00E24EC8">
                      <w:pPr>
                        <w:rPr>
                          <w:color w:val="auto"/>
                        </w:rPr>
                      </w:pPr>
                    </w:p>
                    <w:p w:rsidR="00E24EC8" w:rsidRPr="00F31EBF" w:rsidRDefault="00E24EC8" w:rsidP="00E24EC8">
                      <w:pPr>
                        <w:rPr>
                          <w:color w:val="auto"/>
                        </w:rPr>
                      </w:pPr>
                    </w:p>
                  </w:txbxContent>
                </v:textbox>
                <w10:anchorlock/>
              </v:shape>
            </w:pict>
          </mc:Fallback>
        </mc:AlternateContent>
      </w:r>
    </w:p>
    <w:p w:rsidR="00B70B85" w:rsidRDefault="00B70B85"/>
    <w:sectPr w:rsidR="00B70B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D6FC0E2A"/>
    <w:lvl w:ilvl="0">
      <w:start w:val="1"/>
      <w:numFmt w:val="decimal"/>
      <w:pStyle w:val="berschrift1"/>
      <w:lvlText w:val="%1"/>
      <w:lvlJc w:val="left"/>
      <w:pPr>
        <w:ind w:left="432" w:hanging="432"/>
      </w:pPr>
      <w:rPr>
        <w:rFonts w:asciiTheme="majorHAnsi" w:eastAsiaTheme="majorEastAsia" w:hAnsiTheme="majorHAnsi" w:cstheme="majorBidi"/>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BC"/>
    <w:rsid w:val="00482EBC"/>
    <w:rsid w:val="00B70B85"/>
    <w:rsid w:val="00E24EC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B4247-8463-424A-832E-645F2DF7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4EC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24EC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24EC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24EC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24EC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24EC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24EC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24EC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24EC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24EC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4EC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E24EC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24EC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24EC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24EC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24EC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24E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24E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24EC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24EC8"/>
    <w:pPr>
      <w:spacing w:line="240" w:lineRule="auto"/>
    </w:pPr>
    <w:rPr>
      <w:bCs/>
      <w:color w:val="auto"/>
      <w:sz w:val="18"/>
      <w:szCs w:val="18"/>
    </w:rPr>
  </w:style>
  <w:style w:type="character" w:styleId="Hyperlink">
    <w:name w:val="Hyperlink"/>
    <w:basedOn w:val="Absatz-Standardschriftart"/>
    <w:uiPriority w:val="99"/>
    <w:unhideWhenUsed/>
    <w:rsid w:val="00E24E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chemieunterricht.de/dc2/auto/a-v-ku01.htm" TargetMode="Externa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942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cp:lastPrinted>2016-08-08T11:17:00Z</cp:lastPrinted>
  <dcterms:created xsi:type="dcterms:W3CDTF">2016-08-08T11:16:00Z</dcterms:created>
  <dcterms:modified xsi:type="dcterms:W3CDTF">2016-08-08T11:17:00Z</dcterms:modified>
</cp:coreProperties>
</file>