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07" w:rsidRPr="00C70607" w:rsidRDefault="00C70607" w:rsidP="00C70607">
      <w:pPr>
        <w:pStyle w:val="berschrift2"/>
        <w:numPr>
          <w:ilvl w:val="0"/>
          <w:numId w:val="0"/>
        </w:numPr>
        <w:rPr>
          <w:rFonts w:ascii="Cambria" w:hAnsi="Cambria"/>
          <w:color w:val="auto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90579" wp14:editId="20A3BB1D">
                <wp:simplePos x="0" y="0"/>
                <wp:positionH relativeFrom="column">
                  <wp:posOffset>0</wp:posOffset>
                </wp:positionH>
                <wp:positionV relativeFrom="paragraph">
                  <wp:posOffset>618297</wp:posOffset>
                </wp:positionV>
                <wp:extent cx="5873115" cy="1033145"/>
                <wp:effectExtent l="0" t="0" r="13335" b="14605"/>
                <wp:wrapSquare wrapText="bothSides"/>
                <wp:docPr id="3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033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0607" w:rsidRPr="00F31EBF" w:rsidRDefault="00C70607" w:rsidP="00C70607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Der Versuch stellt einen einfachen schnellen Nachweis für Stärke dar. Zu unterscheiden sind die im Tortenguss enthaltene Stärke sowie die modifizier</w:t>
                            </w:r>
                            <w:bookmarkStart w:id="0" w:name="_GoBack"/>
                            <w:r>
                              <w:rPr>
                                <w:color w:val="auto"/>
                              </w:rPr>
                              <w:t>te Stärke, welche im Sahnesteif enthalten ist. Die SuS sollen dafür sensibilisiert werden, dass es unterschiedliche Arten von Stärke gibt. Als Vorwissen wird der Umgang mit Pipetten benötigt.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90579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0;margin-top:48.7pt;width:462.4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" fillcolor="white [3201]" strokecolor="#4472c4 [3208]" strokeweight="1pt">
                <v:stroke dashstyle="dash"/>
                <v:shadow color="#868686"/>
                <v:textbox>
                  <w:txbxContent>
                    <w:p w:rsidR="00C70607" w:rsidRPr="00F31EBF" w:rsidRDefault="00C70607" w:rsidP="00C70607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Der Versuch stellt einen einfachen schnellen Nachweis für Stärke dar. Zu unterscheiden sind die im Tortenguss enthaltene Stärke sowie die modifizier</w:t>
                      </w:r>
                      <w:bookmarkStart w:id="1" w:name="_GoBack"/>
                      <w:r>
                        <w:rPr>
                          <w:color w:val="auto"/>
                        </w:rPr>
                        <w:t>te Stärke, welche im Sahnesteif enthalten ist. Die SuS sollen dafür sensibilisiert werden, dass es unterschiedliche Arten von Stärke gibt. Als Vorwissen wird der Umgang mit Pipetten benötigt.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C70607">
        <w:rPr>
          <w:rFonts w:ascii="Cambria" w:hAnsi="Cambria"/>
          <w:color w:val="auto"/>
        </w:rPr>
        <w:t>Sahnesteif und Tortenguss – Stärke ist nicht gleich Stärke</w:t>
      </w:r>
    </w:p>
    <w:p w:rsidR="00C70607" w:rsidRDefault="00C70607" w:rsidP="00C70607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70607" w:rsidRPr="009C5E28" w:rsidTr="004E0BB1">
        <w:tc>
          <w:tcPr>
            <w:tcW w:w="9322" w:type="dxa"/>
            <w:gridSpan w:val="9"/>
            <w:shd w:val="clear" w:color="auto" w:fill="4F81BD"/>
            <w:vAlign w:val="center"/>
          </w:tcPr>
          <w:p w:rsidR="00C70607" w:rsidRPr="00F31EBF" w:rsidRDefault="00C70607" w:rsidP="004E0BB1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C70607" w:rsidRPr="009C5E28" w:rsidTr="004E0BB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0607" w:rsidRPr="009C5E28" w:rsidRDefault="00C70607" w:rsidP="004E0BB1">
            <w:pPr>
              <w:spacing w:after="0"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sz w:val="20"/>
              </w:rPr>
              <w:t>Luglosche</w:t>
            </w:r>
            <w:proofErr w:type="spellEnd"/>
            <w:r>
              <w:rPr>
                <w:sz w:val="20"/>
              </w:rPr>
              <w:t xml:space="preserve"> Lösung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0607" w:rsidRPr="009C5E28" w:rsidRDefault="00C70607" w:rsidP="004E0BB1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70607" w:rsidRPr="009C5E28" w:rsidRDefault="00C70607" w:rsidP="004E0BB1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C70607" w:rsidRPr="009C5E28" w:rsidTr="004E0BB1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0607" w:rsidRDefault="00C70607" w:rsidP="004E0BB1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4" w:space="0" w:color="auto"/>
            </w:tcBorders>
            <w:shd w:val="clear" w:color="auto" w:fill="auto"/>
            <w:vAlign w:val="center"/>
          </w:tcPr>
          <w:p w:rsidR="00C70607" w:rsidRPr="009C5E28" w:rsidRDefault="00C70607" w:rsidP="004E0BB1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4" w:space="0" w:color="auto"/>
            </w:tcBorders>
            <w:shd w:val="clear" w:color="auto" w:fill="auto"/>
            <w:vAlign w:val="center"/>
          </w:tcPr>
          <w:p w:rsidR="00C70607" w:rsidRPr="009C5E28" w:rsidRDefault="00C70607" w:rsidP="004E0BB1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70607" w:rsidRPr="009C5E28" w:rsidTr="004E0BB1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0607" w:rsidRPr="009C5E28" w:rsidRDefault="00C70607" w:rsidP="004E0BB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617FF068" wp14:editId="0436BE32">
                  <wp:extent cx="504190" cy="504190"/>
                  <wp:effectExtent l="0" t="0" r="0" b="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0607" w:rsidRPr="009C5E28" w:rsidRDefault="00C70607" w:rsidP="004E0B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32B33AB" wp14:editId="6B6A071A">
                  <wp:extent cx="504190" cy="504190"/>
                  <wp:effectExtent l="0" t="0" r="0" b="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0607" w:rsidRPr="009C5E28" w:rsidRDefault="00C70607" w:rsidP="004E0B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9F646F" wp14:editId="46DCD70E">
                  <wp:extent cx="503555" cy="503555"/>
                  <wp:effectExtent l="0" t="0" r="0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0607" w:rsidRPr="009C5E28" w:rsidRDefault="00C70607" w:rsidP="004E0B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1332109" wp14:editId="41870DCB">
                  <wp:extent cx="504190" cy="504190"/>
                  <wp:effectExtent l="0" t="0" r="0" b="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0607" w:rsidRPr="009C5E28" w:rsidRDefault="00C70607" w:rsidP="004E0B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528EF12" wp14:editId="3E688CEF">
                  <wp:extent cx="504190" cy="504190"/>
                  <wp:effectExtent l="0" t="0" r="0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0607" w:rsidRPr="009C5E28" w:rsidRDefault="00C70607" w:rsidP="004E0B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BF38F5B" wp14:editId="59CF6A6D">
                  <wp:extent cx="493395" cy="493395"/>
                  <wp:effectExtent l="0" t="0" r="1905" b="1905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0607" w:rsidRPr="009C5E28" w:rsidRDefault="00C70607" w:rsidP="004E0B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532C5AC" wp14:editId="07D60472">
                  <wp:extent cx="504190" cy="504190"/>
                  <wp:effectExtent l="0" t="0" r="0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0607" w:rsidRPr="009C5E28" w:rsidRDefault="00C70607" w:rsidP="004E0B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8753C4B" wp14:editId="0496C98A">
                  <wp:extent cx="511175" cy="511175"/>
                  <wp:effectExtent l="0" t="0" r="3175" b="3175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70607" w:rsidRPr="009C5E28" w:rsidRDefault="00C70607" w:rsidP="004E0B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7BE60C4" wp14:editId="4D930A6E">
                  <wp:extent cx="504190" cy="504190"/>
                  <wp:effectExtent l="0" t="0" r="0" b="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0607" w:rsidRDefault="00C70607" w:rsidP="00C70607">
      <w:pPr>
        <w:tabs>
          <w:tab w:val="left" w:pos="1701"/>
          <w:tab w:val="left" w:pos="1985"/>
        </w:tabs>
        <w:ind w:left="1980" w:hanging="1980"/>
      </w:pPr>
    </w:p>
    <w:p w:rsidR="00C70607" w:rsidRDefault="00C70607" w:rsidP="00C7060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zwei Bechergläser (250 </w:t>
      </w:r>
      <w:proofErr w:type="spellStart"/>
      <w:r>
        <w:t>mL</w:t>
      </w:r>
      <w:proofErr w:type="spellEnd"/>
      <w:r>
        <w:t xml:space="preserve">), ein </w:t>
      </w:r>
      <w:proofErr w:type="spellStart"/>
      <w:r>
        <w:t>Spatellöffel</w:t>
      </w:r>
      <w:proofErr w:type="spellEnd"/>
      <w:r>
        <w:t>, Pipette, Glasstab</w:t>
      </w:r>
    </w:p>
    <w:p w:rsidR="00C70607" w:rsidRPr="00ED07C2" w:rsidRDefault="00C70607" w:rsidP="00C70607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>
        <w:t>Luglosche</w:t>
      </w:r>
      <w:proofErr w:type="spellEnd"/>
      <w:r>
        <w:t xml:space="preserve"> Lösung, Wasser, Sahnesteif, Tortenguss</w:t>
      </w:r>
    </w:p>
    <w:p w:rsidR="00C70607" w:rsidRDefault="00C70607" w:rsidP="00C70607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Es wird je ein </w:t>
      </w:r>
      <w:proofErr w:type="spellStart"/>
      <w:r>
        <w:t>Spatellöffel</w:t>
      </w:r>
      <w:proofErr w:type="spellEnd"/>
      <w:r>
        <w:t xml:space="preserve"> Sahnesteif bzw. Tortenguss getrennt in ein Becherglas gefüllt und mit Wasser übergossen (ca. 5 cm hoch). Nach kurzem Umrühren werden in beide Bechergläser wenige Tropfen </w:t>
      </w:r>
      <w:proofErr w:type="spellStart"/>
      <w:r>
        <w:t>Luglosche</w:t>
      </w:r>
      <w:proofErr w:type="spellEnd"/>
      <w:r>
        <w:t xml:space="preserve"> Lösung gegeben.</w:t>
      </w:r>
    </w:p>
    <w:p w:rsidR="00C70607" w:rsidRDefault="00C70607" w:rsidP="00C70607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Im Wasser-Sahnesteif-Gemisch wird sofort nach Zugabe der </w:t>
      </w:r>
      <w:proofErr w:type="spellStart"/>
      <w:r>
        <w:t>Luglosche</w:t>
      </w:r>
      <w:proofErr w:type="spellEnd"/>
      <w:r>
        <w:t xml:space="preserve"> Lösung eine dunkelblaue Färbung sichtbar. Die Tortenguss-Suspension verfärbt sich jedoch erst ins Bräunliche, wird jedoch nach kurzer Zeit ebenfalls dunkelblau/violett.</w:t>
      </w:r>
    </w:p>
    <w:p w:rsidR="00C70607" w:rsidRDefault="00C70607" w:rsidP="00C70607">
      <w:pPr>
        <w:pStyle w:val="Beschriftung"/>
        <w:jc w:val="center"/>
      </w:pPr>
      <w:r w:rsidRPr="000E7ED1">
        <w:rPr>
          <w:noProof/>
          <w:lang w:eastAsia="de-DE"/>
        </w:rPr>
        <w:lastRenderedPageBreak/>
        <w:drawing>
          <wp:inline distT="0" distB="0" distL="0" distR="0" wp14:anchorId="1D0405E4" wp14:editId="3E62ACD5">
            <wp:extent cx="2767580" cy="2016224"/>
            <wp:effectExtent l="114300" t="114300" r="128270" b="136525"/>
            <wp:docPr id="66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/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1" b="12142"/>
                    <a:stretch/>
                  </pic:blipFill>
                  <pic:spPr>
                    <a:xfrm>
                      <a:off x="0" y="0"/>
                      <a:ext cx="2767580" cy="20162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70607" w:rsidRDefault="00C70607" w:rsidP="00C70607">
      <w:pPr>
        <w:pStyle w:val="Beschriftung"/>
        <w:jc w:val="left"/>
      </w:pPr>
      <w:r>
        <w:t xml:space="preserve">Abb. 4 – Sichtbare Verfärbungen nach Zugabe der </w:t>
      </w:r>
      <w:proofErr w:type="spellStart"/>
      <w:r>
        <w:t>Luglosche</w:t>
      </w:r>
      <w:proofErr w:type="spellEnd"/>
      <w:r>
        <w:t xml:space="preserve"> Lösung (links: Tortenguss, rechts: Sahnesteif).</w:t>
      </w:r>
      <w:r>
        <w:rPr>
          <w:noProof/>
        </w:rPr>
        <w:t xml:space="preserve"> </w:t>
      </w:r>
    </w:p>
    <w:p w:rsidR="00C70607" w:rsidRDefault="00C70607" w:rsidP="00C70607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 xml:space="preserve">Die vormalige Braunfärbung des Tortengusses begründet sich durch eine Nebenreaktion des Geliermittels mit Iod. Nach Ablauf dieser bildet die Stärke mit den </w:t>
      </w:r>
      <w:proofErr w:type="spellStart"/>
      <w:r>
        <w:t>Iodidionen</w:t>
      </w:r>
      <w:proofErr w:type="spellEnd"/>
      <w:r>
        <w:t xml:space="preserve"> einen </w:t>
      </w:r>
      <w:proofErr w:type="spellStart"/>
      <w:r>
        <w:t>Iodstärke</w:t>
      </w:r>
      <w:proofErr w:type="spellEnd"/>
      <w:r>
        <w:t xml:space="preserve">-Komplex mit der charakteristischen dunkelblau-violetten Färbung. Die sofortige Blaufärbung des </w:t>
      </w:r>
      <w:proofErr w:type="spellStart"/>
      <w:r>
        <w:t>Sahnesteifs</w:t>
      </w:r>
      <w:proofErr w:type="spellEnd"/>
      <w:r>
        <w:t xml:space="preserve"> ist darauf zurück zu führen, dass die darin enthaltene modifizierte Stärke gut wasserlöslich ist und daher augenblicklich mit der </w:t>
      </w:r>
      <w:proofErr w:type="spellStart"/>
      <w:r>
        <w:t>Lugolschen</w:t>
      </w:r>
      <w:proofErr w:type="spellEnd"/>
      <w:r>
        <w:t xml:space="preserve"> Lösung reagiert. Dies hat auf Teilchenebene wiederum eine </w:t>
      </w:r>
      <w:proofErr w:type="spellStart"/>
      <w:r>
        <w:t>Komplexbilding</w:t>
      </w:r>
      <w:proofErr w:type="spellEnd"/>
      <w:r>
        <w:t xml:space="preserve"> zur Folge mit intensiv blauer Farbe.</w:t>
      </w:r>
    </w:p>
    <w:p w:rsidR="00C70607" w:rsidRDefault="00C70607" w:rsidP="00C70607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ab/>
      </w:r>
      <w:r>
        <w:tab/>
      </w:r>
      <w:r>
        <w:tab/>
        <w:t>Es lässt sich also unabhängig von den auf der Verpackung definierten Inhaltsstoffen bestimmen, dass unterschiedliche Zusammensetzungen vorliegen.</w:t>
      </w:r>
      <w:r>
        <w:tab/>
      </w:r>
      <w:r>
        <w:tab/>
      </w:r>
    </w:p>
    <w:p w:rsidR="00C70607" w:rsidRDefault="00C70607" w:rsidP="00C70607">
      <w:pPr>
        <w:spacing w:line="276" w:lineRule="auto"/>
        <w:ind w:left="1416" w:hanging="1416"/>
        <w:jc w:val="left"/>
      </w:pPr>
      <w:r>
        <w:t>Entsorgung:</w:t>
      </w:r>
      <w:r>
        <w:tab/>
        <w:t xml:space="preserve">           </w:t>
      </w:r>
      <w:r>
        <w:tab/>
        <w:t>Die Entsorgung erfolgt unter ausreichend Wasserfluss</w:t>
      </w:r>
      <w:r w:rsidRPr="00EF786F">
        <w:t xml:space="preserve"> </w:t>
      </w:r>
      <w:r>
        <w:t>in den Abguss.</w:t>
      </w:r>
    </w:p>
    <w:p w:rsidR="00C70607" w:rsidRPr="00422AAD" w:rsidRDefault="00C70607" w:rsidP="00C70607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>
        <w:tab/>
      </w:r>
    </w:p>
    <w:p w:rsidR="00C70607" w:rsidRDefault="00C70607" w:rsidP="00C70607">
      <w:pPr>
        <w:rPr>
          <w:rFonts w:ascii="Times New Roman" w:hAnsi="Times New Roman"/>
          <w:color w:val="auto"/>
        </w:rPr>
      </w:pPr>
      <w:r>
        <w:rPr>
          <w:rStyle w:val="a-size-large"/>
        </w:rPr>
        <w:t xml:space="preserve"> [4] G. Schwedt, Experimente mit Supermarktprodukten: Eine chemische Warenkunde, </w:t>
      </w:r>
      <w:proofErr w:type="spellStart"/>
      <w:r>
        <w:rPr>
          <w:rStyle w:val="a-size-large"/>
        </w:rPr>
        <w:t>Wiley</w:t>
      </w:r>
      <w:proofErr w:type="spellEnd"/>
      <w:r>
        <w:rPr>
          <w:rStyle w:val="a-size-large"/>
        </w:rPr>
        <w:t xml:space="preserve">-VCH, 3. aktualisierte Auflage, 2008, S.52. </w:t>
      </w:r>
    </w:p>
    <w:p w:rsidR="00C70607" w:rsidRPr="00D852CA" w:rsidRDefault="00C70607" w:rsidP="00C70607"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A8D3946" wp14:editId="46DB20B9">
                <wp:extent cx="5873115" cy="571500"/>
                <wp:effectExtent l="0" t="0" r="13335" b="19050"/>
                <wp:docPr id="6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71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0607" w:rsidRPr="00D67F4E" w:rsidRDefault="00C70607" w:rsidP="00C70607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Im Hinblick auf die Untersuchung von Nährstoffen in unserer Nahrung bietet es sich an den Versuch im Rahmen von Nachweis-Reaktionen durchzuführen.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8D3946" id="Text Box 131" o:spid="_x0000_s1027" type="#_x0000_t202" style="width:462.4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" fillcolor="white [3201]" strokecolor="#ed7d31 [3205]" strokeweight="1pt">
                <v:stroke dashstyle="dash"/>
                <v:shadow color="#868686"/>
                <v:textbox>
                  <w:txbxContent>
                    <w:p w:rsidR="00C70607" w:rsidRPr="00D67F4E" w:rsidRDefault="00C70607" w:rsidP="00C70607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Im Hinblick auf die Untersuchung von Nährstoffen in unserer Nahrung bietet es sich an den Versuch im Rahmen von Nachweis-Reaktionen durchzuführen.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007A" w:rsidRDefault="0008007A"/>
    <w:sectPr w:rsidR="0008007A" w:rsidSect="00E063E2">
      <w:pgSz w:w="11907" w:h="16840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07"/>
    <w:rsid w:val="00010A19"/>
    <w:rsid w:val="00015326"/>
    <w:rsid w:val="000214D7"/>
    <w:rsid w:val="00034ECE"/>
    <w:rsid w:val="00040314"/>
    <w:rsid w:val="0004115C"/>
    <w:rsid w:val="000416FC"/>
    <w:rsid w:val="00042F9C"/>
    <w:rsid w:val="00051016"/>
    <w:rsid w:val="00057E37"/>
    <w:rsid w:val="000631B7"/>
    <w:rsid w:val="00065BBF"/>
    <w:rsid w:val="00071766"/>
    <w:rsid w:val="00074E05"/>
    <w:rsid w:val="0008007A"/>
    <w:rsid w:val="00083B34"/>
    <w:rsid w:val="00093844"/>
    <w:rsid w:val="00094469"/>
    <w:rsid w:val="000A2DC0"/>
    <w:rsid w:val="000B5B2A"/>
    <w:rsid w:val="000D0604"/>
    <w:rsid w:val="000D4E80"/>
    <w:rsid w:val="000D73AC"/>
    <w:rsid w:val="000E42E4"/>
    <w:rsid w:val="000F1B4A"/>
    <w:rsid w:val="000F36BF"/>
    <w:rsid w:val="000F5126"/>
    <w:rsid w:val="00102C9E"/>
    <w:rsid w:val="00104E1E"/>
    <w:rsid w:val="00105233"/>
    <w:rsid w:val="001119F2"/>
    <w:rsid w:val="00111CF5"/>
    <w:rsid w:val="001124EB"/>
    <w:rsid w:val="001174BA"/>
    <w:rsid w:val="00133118"/>
    <w:rsid w:val="00142E6A"/>
    <w:rsid w:val="001465DD"/>
    <w:rsid w:val="00146AF8"/>
    <w:rsid w:val="00162CB8"/>
    <w:rsid w:val="00164290"/>
    <w:rsid w:val="00164F3A"/>
    <w:rsid w:val="001853A1"/>
    <w:rsid w:val="001866D3"/>
    <w:rsid w:val="0019348A"/>
    <w:rsid w:val="00193B8F"/>
    <w:rsid w:val="001A0A6B"/>
    <w:rsid w:val="001A1B51"/>
    <w:rsid w:val="001B4198"/>
    <w:rsid w:val="001B42A6"/>
    <w:rsid w:val="001B6182"/>
    <w:rsid w:val="001C186F"/>
    <w:rsid w:val="001D0470"/>
    <w:rsid w:val="001D148D"/>
    <w:rsid w:val="001D16BD"/>
    <w:rsid w:val="00206CF2"/>
    <w:rsid w:val="00207E6F"/>
    <w:rsid w:val="00225698"/>
    <w:rsid w:val="002355D2"/>
    <w:rsid w:val="00244730"/>
    <w:rsid w:val="00246BA9"/>
    <w:rsid w:val="00256E68"/>
    <w:rsid w:val="00257E4A"/>
    <w:rsid w:val="00272708"/>
    <w:rsid w:val="0027718F"/>
    <w:rsid w:val="0028077D"/>
    <w:rsid w:val="002842E7"/>
    <w:rsid w:val="00284B34"/>
    <w:rsid w:val="00292233"/>
    <w:rsid w:val="002A5895"/>
    <w:rsid w:val="002A7FD2"/>
    <w:rsid w:val="002B13F8"/>
    <w:rsid w:val="002B1E47"/>
    <w:rsid w:val="002C66D2"/>
    <w:rsid w:val="002C7E3A"/>
    <w:rsid w:val="002D785F"/>
    <w:rsid w:val="002E2DD6"/>
    <w:rsid w:val="002E5A54"/>
    <w:rsid w:val="002F6910"/>
    <w:rsid w:val="00305614"/>
    <w:rsid w:val="00316ED8"/>
    <w:rsid w:val="003301EC"/>
    <w:rsid w:val="00332551"/>
    <w:rsid w:val="003346BD"/>
    <w:rsid w:val="003364F1"/>
    <w:rsid w:val="003431C7"/>
    <w:rsid w:val="0034667A"/>
    <w:rsid w:val="003470A7"/>
    <w:rsid w:val="00363F14"/>
    <w:rsid w:val="003737EE"/>
    <w:rsid w:val="00382D09"/>
    <w:rsid w:val="003911DD"/>
    <w:rsid w:val="003A0106"/>
    <w:rsid w:val="003A1CA6"/>
    <w:rsid w:val="003A6567"/>
    <w:rsid w:val="003B47B8"/>
    <w:rsid w:val="003B7D10"/>
    <w:rsid w:val="003C6F12"/>
    <w:rsid w:val="003C7CF0"/>
    <w:rsid w:val="003E41CB"/>
    <w:rsid w:val="003F0DFA"/>
    <w:rsid w:val="003F33F2"/>
    <w:rsid w:val="003F43FF"/>
    <w:rsid w:val="00401F55"/>
    <w:rsid w:val="0041199B"/>
    <w:rsid w:val="00416DB0"/>
    <w:rsid w:val="00416FCE"/>
    <w:rsid w:val="004216D4"/>
    <w:rsid w:val="004248FA"/>
    <w:rsid w:val="00426A31"/>
    <w:rsid w:val="00434DA2"/>
    <w:rsid w:val="00441EC8"/>
    <w:rsid w:val="00447C99"/>
    <w:rsid w:val="00454BDF"/>
    <w:rsid w:val="00460E79"/>
    <w:rsid w:val="00466506"/>
    <w:rsid w:val="00471B58"/>
    <w:rsid w:val="0049105F"/>
    <w:rsid w:val="00491A2C"/>
    <w:rsid w:val="00497771"/>
    <w:rsid w:val="004A3D8B"/>
    <w:rsid w:val="004A4CF8"/>
    <w:rsid w:val="004A563F"/>
    <w:rsid w:val="004A5CED"/>
    <w:rsid w:val="004B130B"/>
    <w:rsid w:val="004B3C98"/>
    <w:rsid w:val="004C7FA9"/>
    <w:rsid w:val="004D0E09"/>
    <w:rsid w:val="004D401C"/>
    <w:rsid w:val="004D79CD"/>
    <w:rsid w:val="004D7D84"/>
    <w:rsid w:val="004E53B3"/>
    <w:rsid w:val="004F30DB"/>
    <w:rsid w:val="004F4FE3"/>
    <w:rsid w:val="00500110"/>
    <w:rsid w:val="005019CE"/>
    <w:rsid w:val="00515DE8"/>
    <w:rsid w:val="0052180C"/>
    <w:rsid w:val="0052283E"/>
    <w:rsid w:val="00533808"/>
    <w:rsid w:val="00533C6B"/>
    <w:rsid w:val="00542290"/>
    <w:rsid w:val="0056587B"/>
    <w:rsid w:val="00567708"/>
    <w:rsid w:val="00567988"/>
    <w:rsid w:val="00570C4D"/>
    <w:rsid w:val="00573D32"/>
    <w:rsid w:val="00575B1E"/>
    <w:rsid w:val="0058185D"/>
    <w:rsid w:val="005A0610"/>
    <w:rsid w:val="005A57A2"/>
    <w:rsid w:val="005B2CFB"/>
    <w:rsid w:val="005B55A7"/>
    <w:rsid w:val="005C071A"/>
    <w:rsid w:val="005C07B5"/>
    <w:rsid w:val="005C0D5C"/>
    <w:rsid w:val="005C2C76"/>
    <w:rsid w:val="005D3833"/>
    <w:rsid w:val="005D445A"/>
    <w:rsid w:val="005D4803"/>
    <w:rsid w:val="005E1BB6"/>
    <w:rsid w:val="005E2B15"/>
    <w:rsid w:val="005E2D77"/>
    <w:rsid w:val="005E3EE4"/>
    <w:rsid w:val="005E65DE"/>
    <w:rsid w:val="005F1729"/>
    <w:rsid w:val="005F6176"/>
    <w:rsid w:val="00605BEB"/>
    <w:rsid w:val="00625C11"/>
    <w:rsid w:val="0064325D"/>
    <w:rsid w:val="00646B25"/>
    <w:rsid w:val="00646E21"/>
    <w:rsid w:val="006533E7"/>
    <w:rsid w:val="006551D3"/>
    <w:rsid w:val="0066723A"/>
    <w:rsid w:val="00672646"/>
    <w:rsid w:val="00676DBB"/>
    <w:rsid w:val="0068172D"/>
    <w:rsid w:val="00681A2F"/>
    <w:rsid w:val="00682376"/>
    <w:rsid w:val="00690D6A"/>
    <w:rsid w:val="0069313B"/>
    <w:rsid w:val="0069410F"/>
    <w:rsid w:val="006A017D"/>
    <w:rsid w:val="006A27BA"/>
    <w:rsid w:val="006A5BF3"/>
    <w:rsid w:val="006B2B98"/>
    <w:rsid w:val="006B6481"/>
    <w:rsid w:val="006D4751"/>
    <w:rsid w:val="006E02F2"/>
    <w:rsid w:val="006E2D37"/>
    <w:rsid w:val="006F6BCE"/>
    <w:rsid w:val="007273C3"/>
    <w:rsid w:val="00731E1C"/>
    <w:rsid w:val="007471ED"/>
    <w:rsid w:val="00747BFA"/>
    <w:rsid w:val="0075110B"/>
    <w:rsid w:val="00760F0B"/>
    <w:rsid w:val="007610EF"/>
    <w:rsid w:val="00765C19"/>
    <w:rsid w:val="00766EFA"/>
    <w:rsid w:val="007831F0"/>
    <w:rsid w:val="007839DA"/>
    <w:rsid w:val="007867A9"/>
    <w:rsid w:val="00790245"/>
    <w:rsid w:val="0079147D"/>
    <w:rsid w:val="0079591C"/>
    <w:rsid w:val="007B3438"/>
    <w:rsid w:val="007D058D"/>
    <w:rsid w:val="007D13D8"/>
    <w:rsid w:val="007D3424"/>
    <w:rsid w:val="007F3754"/>
    <w:rsid w:val="00800921"/>
    <w:rsid w:val="00804CDD"/>
    <w:rsid w:val="00820AFF"/>
    <w:rsid w:val="00821B9A"/>
    <w:rsid w:val="008302FC"/>
    <w:rsid w:val="00830596"/>
    <w:rsid w:val="008336A6"/>
    <w:rsid w:val="00842CE9"/>
    <w:rsid w:val="00843562"/>
    <w:rsid w:val="0085226A"/>
    <w:rsid w:val="00854F24"/>
    <w:rsid w:val="00855CB7"/>
    <w:rsid w:val="00862CD1"/>
    <w:rsid w:val="0087116C"/>
    <w:rsid w:val="008723F3"/>
    <w:rsid w:val="00873CA0"/>
    <w:rsid w:val="0087484E"/>
    <w:rsid w:val="0088703C"/>
    <w:rsid w:val="00894F2A"/>
    <w:rsid w:val="008A3398"/>
    <w:rsid w:val="008B25C0"/>
    <w:rsid w:val="008C2970"/>
    <w:rsid w:val="008C4759"/>
    <w:rsid w:val="008C63D1"/>
    <w:rsid w:val="008D76DA"/>
    <w:rsid w:val="008E085D"/>
    <w:rsid w:val="008E45B6"/>
    <w:rsid w:val="009129C2"/>
    <w:rsid w:val="009168B3"/>
    <w:rsid w:val="009208B9"/>
    <w:rsid w:val="009464CE"/>
    <w:rsid w:val="009508C6"/>
    <w:rsid w:val="00953325"/>
    <w:rsid w:val="009535D1"/>
    <w:rsid w:val="0095364D"/>
    <w:rsid w:val="009720DD"/>
    <w:rsid w:val="009740AB"/>
    <w:rsid w:val="00984D2C"/>
    <w:rsid w:val="009877DE"/>
    <w:rsid w:val="0099650F"/>
    <w:rsid w:val="009B74B2"/>
    <w:rsid w:val="009C10B9"/>
    <w:rsid w:val="009C39CE"/>
    <w:rsid w:val="009C6FA8"/>
    <w:rsid w:val="009C75F6"/>
    <w:rsid w:val="009E0916"/>
    <w:rsid w:val="00A016F0"/>
    <w:rsid w:val="00A0468D"/>
    <w:rsid w:val="00A10710"/>
    <w:rsid w:val="00A10B46"/>
    <w:rsid w:val="00A1466B"/>
    <w:rsid w:val="00A151FD"/>
    <w:rsid w:val="00A16BF7"/>
    <w:rsid w:val="00A22F07"/>
    <w:rsid w:val="00A252A6"/>
    <w:rsid w:val="00A34D83"/>
    <w:rsid w:val="00A3511A"/>
    <w:rsid w:val="00A37977"/>
    <w:rsid w:val="00A41AE5"/>
    <w:rsid w:val="00A44D40"/>
    <w:rsid w:val="00A50F5B"/>
    <w:rsid w:val="00A61888"/>
    <w:rsid w:val="00A675D2"/>
    <w:rsid w:val="00A67B06"/>
    <w:rsid w:val="00A72B19"/>
    <w:rsid w:val="00A75B02"/>
    <w:rsid w:val="00A768BA"/>
    <w:rsid w:val="00A8047B"/>
    <w:rsid w:val="00A84A6D"/>
    <w:rsid w:val="00A90542"/>
    <w:rsid w:val="00A94C1C"/>
    <w:rsid w:val="00AA0BED"/>
    <w:rsid w:val="00AA1487"/>
    <w:rsid w:val="00AA2F7B"/>
    <w:rsid w:val="00AB3AAF"/>
    <w:rsid w:val="00AB616D"/>
    <w:rsid w:val="00AD1AC7"/>
    <w:rsid w:val="00AD63C0"/>
    <w:rsid w:val="00AD669D"/>
    <w:rsid w:val="00B21B27"/>
    <w:rsid w:val="00B24926"/>
    <w:rsid w:val="00B3155E"/>
    <w:rsid w:val="00B40EF8"/>
    <w:rsid w:val="00B421AB"/>
    <w:rsid w:val="00B51469"/>
    <w:rsid w:val="00B545AD"/>
    <w:rsid w:val="00B62004"/>
    <w:rsid w:val="00B64AC8"/>
    <w:rsid w:val="00B64CAC"/>
    <w:rsid w:val="00B72B34"/>
    <w:rsid w:val="00B72D75"/>
    <w:rsid w:val="00B833E9"/>
    <w:rsid w:val="00B86C71"/>
    <w:rsid w:val="00B871A3"/>
    <w:rsid w:val="00B97868"/>
    <w:rsid w:val="00BB3712"/>
    <w:rsid w:val="00BB4E15"/>
    <w:rsid w:val="00BC1F70"/>
    <w:rsid w:val="00BE4CC5"/>
    <w:rsid w:val="00BF5B68"/>
    <w:rsid w:val="00C01BF6"/>
    <w:rsid w:val="00C13CC4"/>
    <w:rsid w:val="00C159F5"/>
    <w:rsid w:val="00C16557"/>
    <w:rsid w:val="00C23A0A"/>
    <w:rsid w:val="00C24BBB"/>
    <w:rsid w:val="00C26068"/>
    <w:rsid w:val="00C332CE"/>
    <w:rsid w:val="00C34A3B"/>
    <w:rsid w:val="00C36AAF"/>
    <w:rsid w:val="00C50917"/>
    <w:rsid w:val="00C52DF9"/>
    <w:rsid w:val="00C55D40"/>
    <w:rsid w:val="00C62216"/>
    <w:rsid w:val="00C62B4D"/>
    <w:rsid w:val="00C70607"/>
    <w:rsid w:val="00C96753"/>
    <w:rsid w:val="00CA6A0B"/>
    <w:rsid w:val="00CB1998"/>
    <w:rsid w:val="00CC2778"/>
    <w:rsid w:val="00CE7B8A"/>
    <w:rsid w:val="00CF5911"/>
    <w:rsid w:val="00D04B05"/>
    <w:rsid w:val="00D06249"/>
    <w:rsid w:val="00D255CA"/>
    <w:rsid w:val="00D3317E"/>
    <w:rsid w:val="00D365BA"/>
    <w:rsid w:val="00D36AAB"/>
    <w:rsid w:val="00D416A3"/>
    <w:rsid w:val="00D442E7"/>
    <w:rsid w:val="00D45CF0"/>
    <w:rsid w:val="00D61871"/>
    <w:rsid w:val="00D627D9"/>
    <w:rsid w:val="00D64814"/>
    <w:rsid w:val="00D71473"/>
    <w:rsid w:val="00D74CE6"/>
    <w:rsid w:val="00D81AF0"/>
    <w:rsid w:val="00D917BE"/>
    <w:rsid w:val="00D91CB3"/>
    <w:rsid w:val="00D9606E"/>
    <w:rsid w:val="00DA1910"/>
    <w:rsid w:val="00DA21DC"/>
    <w:rsid w:val="00DB0ED2"/>
    <w:rsid w:val="00DC15C8"/>
    <w:rsid w:val="00DD10D2"/>
    <w:rsid w:val="00DE0823"/>
    <w:rsid w:val="00DE3B95"/>
    <w:rsid w:val="00DE65F1"/>
    <w:rsid w:val="00DE65FB"/>
    <w:rsid w:val="00DF0A69"/>
    <w:rsid w:val="00DF24A8"/>
    <w:rsid w:val="00DF33BA"/>
    <w:rsid w:val="00DF3C23"/>
    <w:rsid w:val="00E063E2"/>
    <w:rsid w:val="00E071A2"/>
    <w:rsid w:val="00E114E5"/>
    <w:rsid w:val="00E12B0D"/>
    <w:rsid w:val="00E14AAA"/>
    <w:rsid w:val="00E153EA"/>
    <w:rsid w:val="00E27A37"/>
    <w:rsid w:val="00E34407"/>
    <w:rsid w:val="00E3540C"/>
    <w:rsid w:val="00E4444D"/>
    <w:rsid w:val="00E479E2"/>
    <w:rsid w:val="00E54248"/>
    <w:rsid w:val="00E55A58"/>
    <w:rsid w:val="00E62246"/>
    <w:rsid w:val="00E62FD1"/>
    <w:rsid w:val="00E64092"/>
    <w:rsid w:val="00E71891"/>
    <w:rsid w:val="00E724CE"/>
    <w:rsid w:val="00E809E1"/>
    <w:rsid w:val="00E83DFC"/>
    <w:rsid w:val="00E86C27"/>
    <w:rsid w:val="00EB12F8"/>
    <w:rsid w:val="00EB24D7"/>
    <w:rsid w:val="00EB29E4"/>
    <w:rsid w:val="00EB2F18"/>
    <w:rsid w:val="00EC1784"/>
    <w:rsid w:val="00ED527C"/>
    <w:rsid w:val="00EE18DA"/>
    <w:rsid w:val="00EF187A"/>
    <w:rsid w:val="00EF6234"/>
    <w:rsid w:val="00F04075"/>
    <w:rsid w:val="00F06EDE"/>
    <w:rsid w:val="00F22A44"/>
    <w:rsid w:val="00F23A88"/>
    <w:rsid w:val="00F3710B"/>
    <w:rsid w:val="00F45765"/>
    <w:rsid w:val="00F54390"/>
    <w:rsid w:val="00F61792"/>
    <w:rsid w:val="00F6419E"/>
    <w:rsid w:val="00F72216"/>
    <w:rsid w:val="00F76578"/>
    <w:rsid w:val="00F819DF"/>
    <w:rsid w:val="00F845F6"/>
    <w:rsid w:val="00F87266"/>
    <w:rsid w:val="00F90637"/>
    <w:rsid w:val="00F9446E"/>
    <w:rsid w:val="00F94996"/>
    <w:rsid w:val="00F972DA"/>
    <w:rsid w:val="00FA34A0"/>
    <w:rsid w:val="00FA588D"/>
    <w:rsid w:val="00FB0141"/>
    <w:rsid w:val="00FB2569"/>
    <w:rsid w:val="00FB32DF"/>
    <w:rsid w:val="00FB446E"/>
    <w:rsid w:val="00FB606E"/>
    <w:rsid w:val="00FB6647"/>
    <w:rsid w:val="00FC145E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4E3E87"/>
  <w15:chartTrackingRefBased/>
  <w15:docId w15:val="{DA4D8C5C-DFA3-4B14-8073-C2B81750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C70607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0607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060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70607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060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060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060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060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060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060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0607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0607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0607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060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060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06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06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06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06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C70607"/>
    <w:pPr>
      <w:spacing w:line="240" w:lineRule="auto"/>
    </w:pPr>
    <w:rPr>
      <w:bCs/>
      <w:color w:val="auto"/>
      <w:sz w:val="18"/>
      <w:szCs w:val="18"/>
    </w:rPr>
  </w:style>
  <w:style w:type="character" w:customStyle="1" w:styleId="a-size-large">
    <w:name w:val="a-size-large"/>
    <w:basedOn w:val="Absatz-Standardschriftart"/>
    <w:rsid w:val="00C7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</dc:creator>
  <cp:keywords/>
  <dc:description/>
  <cp:lastModifiedBy>Annika</cp:lastModifiedBy>
  <cp:revision>1</cp:revision>
  <dcterms:created xsi:type="dcterms:W3CDTF">2016-08-09T13:00:00Z</dcterms:created>
  <dcterms:modified xsi:type="dcterms:W3CDTF">2016-08-09T13:02:00Z</dcterms:modified>
</cp:coreProperties>
</file>