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A16" w:rsidRPr="00174A16" w:rsidRDefault="00174A16" w:rsidP="00174A16">
      <w:pPr>
        <w:pStyle w:val="berschrift2"/>
        <w:numPr>
          <w:ilvl w:val="0"/>
          <w:numId w:val="0"/>
        </w:numPr>
        <w:ind w:left="576" w:hanging="576"/>
        <w:rPr>
          <w:rFonts w:ascii="Cambria" w:hAnsi="Cambria"/>
          <w:color w:val="auto"/>
        </w:rPr>
      </w:pPr>
      <w:bookmarkStart w:id="0" w:name="_Toc457163732"/>
      <w:r>
        <w:rPr>
          <w:noProof/>
          <w:lang w:eastAsia="de-DE"/>
        </w:rPr>
        <mc:AlternateContent>
          <mc:Choice Requires="wps">
            <w:drawing>
              <wp:anchor distT="0" distB="0" distL="114300" distR="114300" simplePos="0" relativeHeight="251659264" behindDoc="0" locked="0" layoutInCell="1" allowOverlap="1" wp14:anchorId="2F9A40D2" wp14:editId="4BB58A8F">
                <wp:simplePos x="0" y="0"/>
                <wp:positionH relativeFrom="column">
                  <wp:posOffset>2540</wp:posOffset>
                </wp:positionH>
                <wp:positionV relativeFrom="paragraph">
                  <wp:posOffset>563935</wp:posOffset>
                </wp:positionV>
                <wp:extent cx="5873115" cy="557530"/>
                <wp:effectExtent l="0" t="0" r="13335" b="13970"/>
                <wp:wrapSquare wrapText="bothSides"/>
                <wp:docPr id="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575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A16" w:rsidRPr="00F31EBF" w:rsidRDefault="00174A16" w:rsidP="00174A16">
                            <w:pPr>
                              <w:rPr>
                                <w:color w:val="auto"/>
                              </w:rPr>
                            </w:pPr>
                            <w:r>
                              <w:rPr>
                                <w:color w:val="auto"/>
                              </w:rPr>
                              <w:t>Der Versuch stellt einen einfachen schnellen Nachweis für Stärke an ausgesuchten Lebensmitteln dar. Als Vorwissen benötigen die SuS den Umgang mit Pipetten.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9A40D2" id="_x0000_t202" coordsize="21600,21600" o:spt="202" path="m,l,21600r21600,l21600,xe">
                <v:stroke joinstyle="miter"/>
                <v:path gradientshapeok="t" o:connecttype="rect"/>
              </v:shapetype>
              <v:shape id="Text Box 60" o:spid="_x0000_s1026" type="#_x0000_t202" style="position:absolute;left:0;text-align:left;margin-left:.2pt;margin-top:44.4pt;width:462.45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" fillcolor="white [3201]" strokecolor="#4472c4 [3208]" strokeweight="1pt">
                <v:stroke dashstyle="dash"/>
                <v:shadow color="#868686"/>
                <v:textbox>
                  <w:txbxContent>
                    <w:p w:rsidR="00174A16" w:rsidRPr="00F31EBF" w:rsidRDefault="00174A16" w:rsidP="00174A16">
                      <w:pPr>
                        <w:rPr>
                          <w:color w:val="auto"/>
                        </w:rPr>
                      </w:pPr>
                      <w:r>
                        <w:rPr>
                          <w:color w:val="auto"/>
                        </w:rPr>
                        <w:t>Der Versuch stellt einen einfachen schnellen Nachweis für Stärke an ausgesuchten Lebensmitteln dar. Als Vorwissen benötigen die SuS den Umgang mit Pipetten.</w:t>
                      </w:r>
                    </w:p>
                  </w:txbxContent>
                </v:textbox>
                <w10:wrap type="square"/>
              </v:shape>
            </w:pict>
          </mc:Fallback>
        </mc:AlternateContent>
      </w:r>
      <w:r w:rsidRPr="00CC307A">
        <w:rPr>
          <w:color w:val="auto"/>
        </w:rPr>
        <w:t xml:space="preserve"> </w:t>
      </w:r>
      <w:r w:rsidRPr="00174A16">
        <w:rPr>
          <w:rFonts w:ascii="Cambria" w:hAnsi="Cambria"/>
          <w:color w:val="auto"/>
        </w:rPr>
        <w:t>Stärke-Nachweis in Nahrungsmitteln</w:t>
      </w:r>
      <w:bookmarkEnd w:id="0"/>
    </w:p>
    <w:p w:rsidR="00174A16" w:rsidRDefault="00174A16" w:rsidP="00174A16">
      <w:bookmarkStart w:id="1" w:name="_GoBack"/>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74A16" w:rsidRPr="009C5E28" w:rsidTr="004E0BB1">
        <w:tc>
          <w:tcPr>
            <w:tcW w:w="9322" w:type="dxa"/>
            <w:gridSpan w:val="9"/>
            <w:shd w:val="clear" w:color="auto" w:fill="4F81BD"/>
            <w:vAlign w:val="center"/>
          </w:tcPr>
          <w:p w:rsidR="00174A16" w:rsidRPr="00F31EBF" w:rsidRDefault="00174A16" w:rsidP="004E0BB1">
            <w:pPr>
              <w:spacing w:after="0"/>
              <w:jc w:val="center"/>
              <w:rPr>
                <w:b/>
                <w:bCs/>
                <w:color w:val="FFFFFF" w:themeColor="background1"/>
              </w:rPr>
            </w:pPr>
            <w:r w:rsidRPr="00F31EBF">
              <w:rPr>
                <w:b/>
                <w:bCs/>
                <w:color w:val="FFFFFF" w:themeColor="background1"/>
              </w:rPr>
              <w:t>Gefahrenstoffe</w:t>
            </w:r>
          </w:p>
        </w:tc>
      </w:tr>
      <w:tr w:rsidR="00174A16" w:rsidRPr="009C5E28" w:rsidTr="004E0BB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74A16" w:rsidRPr="009C5E28" w:rsidRDefault="00174A16" w:rsidP="004E0BB1">
            <w:pPr>
              <w:spacing w:after="0" w:line="276" w:lineRule="auto"/>
              <w:jc w:val="center"/>
              <w:rPr>
                <w:b/>
                <w:bCs/>
              </w:rPr>
            </w:pPr>
            <w:proofErr w:type="spellStart"/>
            <w:r>
              <w:rPr>
                <w:sz w:val="20"/>
              </w:rPr>
              <w:t>Luglosche</w:t>
            </w:r>
            <w:proofErr w:type="spellEnd"/>
            <w:r>
              <w:rPr>
                <w:sz w:val="20"/>
              </w:rPr>
              <w:t xml:space="preserve"> Lösung</w:t>
            </w:r>
          </w:p>
        </w:tc>
        <w:tc>
          <w:tcPr>
            <w:tcW w:w="3177" w:type="dxa"/>
            <w:gridSpan w:val="3"/>
            <w:tcBorders>
              <w:top w:val="single" w:sz="8" w:space="0" w:color="4F81BD"/>
              <w:bottom w:val="single" w:sz="8" w:space="0" w:color="4F81BD"/>
            </w:tcBorders>
            <w:shd w:val="clear" w:color="auto" w:fill="auto"/>
            <w:vAlign w:val="bottom"/>
          </w:tcPr>
          <w:p w:rsidR="00174A16" w:rsidRPr="009C5E28" w:rsidRDefault="00174A16" w:rsidP="004E0BB1">
            <w:pPr>
              <w:spacing w:after="0"/>
              <w:jc w:val="center"/>
            </w:pPr>
            <w:r>
              <w:rPr>
                <w:sz w:val="20"/>
              </w:rPr>
              <w:t>keine</w:t>
            </w:r>
          </w:p>
        </w:tc>
        <w:tc>
          <w:tcPr>
            <w:tcW w:w="3118" w:type="dxa"/>
            <w:gridSpan w:val="3"/>
            <w:tcBorders>
              <w:top w:val="single" w:sz="8" w:space="0" w:color="4F81BD"/>
              <w:bottom w:val="single" w:sz="8" w:space="0" w:color="4F81BD"/>
              <w:right w:val="single" w:sz="8" w:space="0" w:color="4F81BD"/>
            </w:tcBorders>
            <w:shd w:val="clear" w:color="auto" w:fill="auto"/>
            <w:vAlign w:val="bottom"/>
          </w:tcPr>
          <w:p w:rsidR="00174A16" w:rsidRPr="009C5E28" w:rsidRDefault="00174A16" w:rsidP="004E0BB1">
            <w:pPr>
              <w:spacing w:after="0"/>
              <w:jc w:val="center"/>
            </w:pPr>
            <w:r>
              <w:rPr>
                <w:sz w:val="20"/>
              </w:rPr>
              <w:t>keine</w:t>
            </w:r>
          </w:p>
        </w:tc>
      </w:tr>
      <w:tr w:rsidR="00174A16" w:rsidRPr="009C5E28" w:rsidTr="004E0BB1">
        <w:tc>
          <w:tcPr>
            <w:tcW w:w="1009" w:type="dxa"/>
            <w:tcBorders>
              <w:top w:val="single" w:sz="8" w:space="0" w:color="4F81BD"/>
              <w:left w:val="single" w:sz="8" w:space="0" w:color="4F81BD"/>
              <w:bottom w:val="single" w:sz="8" w:space="0" w:color="4F81BD"/>
            </w:tcBorders>
            <w:shd w:val="clear" w:color="auto" w:fill="auto"/>
            <w:vAlign w:val="center"/>
          </w:tcPr>
          <w:p w:rsidR="00174A16" w:rsidRPr="009C5E28" w:rsidRDefault="00174A16" w:rsidP="004E0BB1">
            <w:pPr>
              <w:spacing w:after="0"/>
              <w:jc w:val="center"/>
              <w:rPr>
                <w:b/>
                <w:bCs/>
              </w:rPr>
            </w:pPr>
            <w:r>
              <w:rPr>
                <w:b/>
                <w:noProof/>
                <w:lang w:eastAsia="de-DE"/>
              </w:rPr>
              <w:drawing>
                <wp:inline distT="0" distB="0" distL="0" distR="0" wp14:anchorId="0E917ABA" wp14:editId="7E1DDED3">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4A16" w:rsidRPr="009C5E28" w:rsidRDefault="00174A16" w:rsidP="004E0BB1">
            <w:pPr>
              <w:spacing w:after="0"/>
              <w:jc w:val="center"/>
            </w:pPr>
            <w:r>
              <w:rPr>
                <w:noProof/>
                <w:lang w:eastAsia="de-DE"/>
              </w:rPr>
              <w:drawing>
                <wp:inline distT="0" distB="0" distL="0" distR="0" wp14:anchorId="5AFA39C4" wp14:editId="4C86EA72">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4A16" w:rsidRPr="009C5E28" w:rsidRDefault="00174A16" w:rsidP="004E0BB1">
            <w:pPr>
              <w:spacing w:after="0"/>
              <w:jc w:val="center"/>
            </w:pPr>
            <w:r>
              <w:rPr>
                <w:noProof/>
                <w:lang w:eastAsia="de-DE"/>
              </w:rPr>
              <w:drawing>
                <wp:inline distT="0" distB="0" distL="0" distR="0" wp14:anchorId="6EDCF3DF" wp14:editId="2D84B7C3">
                  <wp:extent cx="503555" cy="503555"/>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4A16" w:rsidRPr="009C5E28" w:rsidRDefault="00174A16" w:rsidP="004E0BB1">
            <w:pPr>
              <w:spacing w:after="0"/>
              <w:jc w:val="center"/>
            </w:pPr>
            <w:r>
              <w:rPr>
                <w:noProof/>
                <w:lang w:eastAsia="de-DE"/>
              </w:rPr>
              <w:drawing>
                <wp:inline distT="0" distB="0" distL="0" distR="0" wp14:anchorId="578A7028" wp14:editId="74FD90D6">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74A16" w:rsidRPr="009C5E28" w:rsidRDefault="00174A16" w:rsidP="004E0BB1">
            <w:pPr>
              <w:spacing w:after="0"/>
              <w:jc w:val="center"/>
            </w:pPr>
            <w:r>
              <w:rPr>
                <w:noProof/>
                <w:lang w:eastAsia="de-DE"/>
              </w:rPr>
              <w:drawing>
                <wp:inline distT="0" distB="0" distL="0" distR="0" wp14:anchorId="3EAA4792" wp14:editId="2588802F">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74A16" w:rsidRPr="009C5E28" w:rsidRDefault="00174A16" w:rsidP="004E0BB1">
            <w:pPr>
              <w:spacing w:after="0"/>
              <w:jc w:val="center"/>
            </w:pPr>
            <w:r>
              <w:rPr>
                <w:noProof/>
                <w:lang w:eastAsia="de-DE"/>
              </w:rPr>
              <w:drawing>
                <wp:inline distT="0" distB="0" distL="0" distR="0" wp14:anchorId="00AA643E" wp14:editId="23D457D8">
                  <wp:extent cx="493395" cy="493395"/>
                  <wp:effectExtent l="0" t="0" r="1905" b="1905"/>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174A16" w:rsidRPr="009C5E28" w:rsidRDefault="00174A16" w:rsidP="004E0BB1">
            <w:pPr>
              <w:spacing w:after="0"/>
              <w:jc w:val="center"/>
            </w:pPr>
            <w:r>
              <w:rPr>
                <w:noProof/>
                <w:lang w:eastAsia="de-DE"/>
              </w:rPr>
              <w:drawing>
                <wp:inline distT="0" distB="0" distL="0" distR="0" wp14:anchorId="243AD196" wp14:editId="7F873DD8">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74A16" w:rsidRPr="009C5E28" w:rsidRDefault="00174A16" w:rsidP="004E0BB1">
            <w:pPr>
              <w:spacing w:after="0"/>
              <w:jc w:val="center"/>
            </w:pPr>
            <w:r>
              <w:rPr>
                <w:noProof/>
                <w:lang w:eastAsia="de-DE"/>
              </w:rPr>
              <w:drawing>
                <wp:inline distT="0" distB="0" distL="0" distR="0" wp14:anchorId="025C8192" wp14:editId="31E35DBC">
                  <wp:extent cx="511175" cy="511175"/>
                  <wp:effectExtent l="0" t="0" r="3175" b="3175"/>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74A16" w:rsidRPr="009C5E28" w:rsidRDefault="00174A16" w:rsidP="004E0BB1">
            <w:pPr>
              <w:spacing w:after="0"/>
              <w:jc w:val="center"/>
            </w:pPr>
            <w:r>
              <w:rPr>
                <w:noProof/>
                <w:lang w:eastAsia="de-DE"/>
              </w:rPr>
              <w:drawing>
                <wp:inline distT="0" distB="0" distL="0" distR="0" wp14:anchorId="7A8FC8C4" wp14:editId="79160561">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74A16" w:rsidRDefault="00174A16" w:rsidP="00174A16">
      <w:pPr>
        <w:tabs>
          <w:tab w:val="left" w:pos="1701"/>
          <w:tab w:val="left" w:pos="1985"/>
        </w:tabs>
        <w:ind w:left="1980" w:hanging="1980"/>
      </w:pPr>
    </w:p>
    <w:p w:rsidR="00174A16" w:rsidRDefault="00174A16" w:rsidP="00174A16">
      <w:pPr>
        <w:tabs>
          <w:tab w:val="left" w:pos="1701"/>
          <w:tab w:val="left" w:pos="1985"/>
        </w:tabs>
        <w:ind w:left="1980" w:hanging="1980"/>
      </w:pPr>
      <w:r>
        <w:t xml:space="preserve">Materialien: </w:t>
      </w:r>
      <w:r>
        <w:tab/>
      </w:r>
      <w:r>
        <w:tab/>
        <w:t>Pipette, Uhrgläser</w:t>
      </w:r>
    </w:p>
    <w:p w:rsidR="00174A16" w:rsidRDefault="00174A16" w:rsidP="00174A16">
      <w:pPr>
        <w:tabs>
          <w:tab w:val="left" w:pos="1701"/>
          <w:tab w:val="left" w:pos="1985"/>
        </w:tabs>
        <w:ind w:left="1980" w:hanging="1980"/>
      </w:pPr>
      <w:r>
        <w:t>Chemikalien:</w:t>
      </w:r>
      <w:r>
        <w:tab/>
      </w:r>
      <w:r>
        <w:tab/>
      </w:r>
      <w:proofErr w:type="spellStart"/>
      <w:r>
        <w:t>Luglosche</w:t>
      </w:r>
      <w:proofErr w:type="spellEnd"/>
      <w:r>
        <w:t xml:space="preserve"> Lösung, Wasser, Kartoffel, Brot (bzw. sonstige andere Nahrungsmittel)</w:t>
      </w:r>
    </w:p>
    <w:p w:rsidR="00174A16" w:rsidRDefault="00174A16" w:rsidP="00174A16">
      <w:pPr>
        <w:tabs>
          <w:tab w:val="left" w:pos="1701"/>
          <w:tab w:val="left" w:pos="1985"/>
        </w:tabs>
        <w:ind w:left="1980" w:hanging="1980"/>
      </w:pPr>
      <w:r>
        <w:t xml:space="preserve">Durchführung: </w:t>
      </w:r>
      <w:r>
        <w:tab/>
      </w:r>
      <w:r>
        <w:tab/>
        <w:t xml:space="preserve">Die entsprechenden Nahrungsmittel werden auf die Uhrgläser verteilt und jeweils mit einigen Tropfen verdünnter </w:t>
      </w:r>
      <w:proofErr w:type="spellStart"/>
      <w:r>
        <w:t>Luglosche</w:t>
      </w:r>
      <w:proofErr w:type="spellEnd"/>
      <w:r>
        <w:t xml:space="preserve"> Lösung versetzt. </w:t>
      </w:r>
    </w:p>
    <w:p w:rsidR="00174A16" w:rsidRDefault="00174A16" w:rsidP="00174A16">
      <w:pPr>
        <w:tabs>
          <w:tab w:val="left" w:pos="1701"/>
          <w:tab w:val="left" w:pos="1985"/>
        </w:tabs>
        <w:ind w:left="1980" w:hanging="1980"/>
      </w:pPr>
      <w:r>
        <w:t>Beobachtung:</w:t>
      </w:r>
      <w:r>
        <w:tab/>
      </w:r>
      <w:r>
        <w:tab/>
        <w:t xml:space="preserve">An der </w:t>
      </w:r>
      <w:proofErr w:type="spellStart"/>
      <w:r>
        <w:t>Eintropfstelle</w:t>
      </w:r>
      <w:proofErr w:type="spellEnd"/>
      <w:r>
        <w:t xml:space="preserve"> wird eine violette bis schwarze Färbung sichtbar.</w:t>
      </w:r>
    </w:p>
    <w:p w:rsidR="00174A16" w:rsidRDefault="00174A16" w:rsidP="00174A16">
      <w:pPr>
        <w:tabs>
          <w:tab w:val="left" w:pos="1701"/>
          <w:tab w:val="left" w:pos="1985"/>
        </w:tabs>
        <w:ind w:left="1980" w:hanging="1980"/>
        <w:jc w:val="center"/>
      </w:pPr>
      <w:r w:rsidRPr="00FD7EB1">
        <w:rPr>
          <w:noProof/>
          <w:lang w:eastAsia="de-DE"/>
        </w:rPr>
        <w:drawing>
          <wp:inline distT="0" distB="0" distL="0" distR="0" wp14:anchorId="5CD955F2" wp14:editId="18C2FA8F">
            <wp:extent cx="2872105" cy="1477939"/>
            <wp:effectExtent l="114300" t="114300" r="99695" b="141605"/>
            <wp:docPr id="4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rotWithShape="1">
                    <a:blip r:embed="rId18" cstate="print">
                      <a:extLst>
                        <a:ext uri="{28A0092B-C50C-407E-A947-70E740481C1C}">
                          <a14:useLocalDpi xmlns:a14="http://schemas.microsoft.com/office/drawing/2010/main" val="0"/>
                        </a:ext>
                      </a:extLst>
                    </a:blip>
                    <a:srcRect t="31131" r="10646" b="7561"/>
                    <a:stretch/>
                  </pic:blipFill>
                  <pic:spPr>
                    <a:xfrm>
                      <a:off x="0" y="0"/>
                      <a:ext cx="2907922" cy="1496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74A16" w:rsidRDefault="00174A16" w:rsidP="00174A16">
      <w:pPr>
        <w:tabs>
          <w:tab w:val="left" w:pos="1701"/>
          <w:tab w:val="left" w:pos="1985"/>
        </w:tabs>
        <w:ind w:left="1980" w:hanging="1980"/>
        <w:jc w:val="center"/>
      </w:pPr>
      <w:r w:rsidRPr="00707D3B">
        <w:rPr>
          <w:sz w:val="20"/>
        </w:rPr>
        <w:t xml:space="preserve">Abb. 4 - </w:t>
      </w:r>
      <w:r w:rsidRPr="00707D3B">
        <w:rPr>
          <w:noProof/>
          <w:sz w:val="20"/>
        </w:rPr>
        <w:t xml:space="preserve"> </w:t>
      </w:r>
      <w:r>
        <w:rPr>
          <w:noProof/>
          <w:sz w:val="20"/>
        </w:rPr>
        <w:t>Iodstärke-Nachweis in Lebensmitteln.</w:t>
      </w:r>
    </w:p>
    <w:p w:rsidR="00174A16" w:rsidRDefault="00174A16" w:rsidP="00174A16">
      <w:pPr>
        <w:tabs>
          <w:tab w:val="left" w:pos="1701"/>
          <w:tab w:val="left" w:pos="1985"/>
        </w:tabs>
        <w:ind w:left="2124" w:hanging="2124"/>
        <w:rPr>
          <w:rFonts w:eastAsiaTheme="minorEastAsia"/>
        </w:rPr>
      </w:pPr>
      <w:r>
        <w:t>Deutung:</w:t>
      </w:r>
      <w:r>
        <w:tab/>
      </w:r>
      <w:r>
        <w:tab/>
      </w:r>
      <w:r>
        <w:tab/>
        <w:t xml:space="preserve">Wenn in den Lebensmitteln Stärke enthalten ist, ist ein violetter bis schwarzer Farbumschlag sichtbar. </w:t>
      </w:r>
      <w:r>
        <w:tab/>
      </w:r>
    </w:p>
    <w:p w:rsidR="00174A16" w:rsidRDefault="00174A16" w:rsidP="00174A16">
      <w:pPr>
        <w:spacing w:line="276" w:lineRule="auto"/>
        <w:ind w:left="1416" w:hanging="1416"/>
        <w:jc w:val="left"/>
      </w:pPr>
      <w:r>
        <w:t>Entsorgung:</w:t>
      </w:r>
      <w:r>
        <w:tab/>
        <w:t xml:space="preserve">           </w:t>
      </w:r>
      <w:r>
        <w:tab/>
        <w:t>Die Lösung wird im Abfluss entsorgt.</w:t>
      </w:r>
    </w:p>
    <w:p w:rsidR="00174A16" w:rsidRPr="00422AAD" w:rsidRDefault="00174A16" w:rsidP="00174A16">
      <w:pPr>
        <w:spacing w:line="276" w:lineRule="auto"/>
        <w:jc w:val="left"/>
        <w:rPr>
          <w:rFonts w:asciiTheme="majorHAnsi" w:eastAsiaTheme="majorEastAsia" w:hAnsiTheme="majorHAnsi" w:cstheme="majorBidi"/>
          <w:b/>
          <w:bCs/>
          <w:sz w:val="28"/>
          <w:szCs w:val="28"/>
        </w:rPr>
      </w:pPr>
      <w:r>
        <w:t>Literatur:</w:t>
      </w:r>
      <w:r>
        <w:tab/>
      </w:r>
      <w:r>
        <w:tab/>
      </w:r>
    </w:p>
    <w:p w:rsidR="00174A16" w:rsidRDefault="00174A16" w:rsidP="00174A16">
      <w:pPr>
        <w:rPr>
          <w:rFonts w:ascii="Times New Roman" w:hAnsi="Times New Roman"/>
          <w:color w:val="auto"/>
        </w:rPr>
      </w:pPr>
      <w:r>
        <w:rPr>
          <w:rStyle w:val="a-size-large"/>
        </w:rPr>
        <w:lastRenderedPageBreak/>
        <w:t xml:space="preserve"> [5] A. Tillmann, </w:t>
      </w:r>
      <w:hyperlink r:id="rId19" w:history="1">
        <w:r w:rsidRPr="00763CFE">
          <w:t>http://www.kids-and-science.de/experimente-fuer-kinder/detailansicht/datum/2009/07/23/backpulver-und-essig.html</w:t>
        </w:r>
      </w:hyperlink>
      <w:r>
        <w:t>, 21.02.2010 (zuletzt abgerufen am 23.07.2016 um 18:38 Uhr).</w:t>
      </w:r>
    </w:p>
    <w:p w:rsidR="00174A16" w:rsidRDefault="00174A16" w:rsidP="00174A16">
      <w:pPr>
        <w:tabs>
          <w:tab w:val="left" w:pos="1701"/>
          <w:tab w:val="left" w:pos="1985"/>
        </w:tabs>
        <w:ind w:left="1980" w:hanging="1980"/>
        <w:rPr>
          <w:color w:val="44546A" w:themeColor="text2"/>
        </w:rPr>
      </w:pPr>
      <w:r>
        <w:rPr>
          <w:noProof/>
          <w:lang w:eastAsia="de-DE"/>
        </w:rPr>
        <mc:AlternateContent>
          <mc:Choice Requires="wps">
            <w:drawing>
              <wp:inline distT="0" distB="0" distL="0" distR="0" wp14:anchorId="0B130B08" wp14:editId="749AE587">
                <wp:extent cx="5760720" cy="1885950"/>
                <wp:effectExtent l="0" t="0" r="11430" b="19050"/>
                <wp:docPr id="3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8859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A16" w:rsidRDefault="00174A16" w:rsidP="00174A16">
                            <w:pPr>
                              <w:rPr>
                                <w:color w:val="auto"/>
                              </w:rPr>
                            </w:pPr>
                            <w:r>
                              <w:rPr>
                                <w:color w:val="auto"/>
                              </w:rPr>
                              <w:t>Im Hinblick auf die Untersuchung von Nährstoffen in unserer Nahrung bietet es sich an den Versuch im Rahmen von Nachweis-Reaktionen durchzuführen.</w:t>
                            </w:r>
                          </w:p>
                          <w:p w:rsidR="00174A16" w:rsidRDefault="00174A16" w:rsidP="00174A16">
                            <w:pPr>
                              <w:rPr>
                                <w:color w:val="auto"/>
                              </w:rPr>
                            </w:pPr>
                            <w:r>
                              <w:rPr>
                                <w:color w:val="auto"/>
                              </w:rPr>
                              <w:t>Außerdem bietet es sich an, die SuS eigenständig Lebensmittel mitbringen zu lassen, von denen sie sicher wissen, dass Stärke enthalten ist bzw. von solchen, wo man es nicht direkt vermuten würde.</w:t>
                            </w:r>
                          </w:p>
                          <w:p w:rsidR="00174A16" w:rsidRDefault="00174A16" w:rsidP="00174A16">
                            <w:pPr>
                              <w:rPr>
                                <w:color w:val="auto"/>
                              </w:rPr>
                            </w:pPr>
                            <w:r>
                              <w:rPr>
                                <w:color w:val="auto"/>
                              </w:rPr>
                              <w:t>Als Blindprobe dient z.B. Wasser.</w:t>
                            </w:r>
                          </w:p>
                          <w:p w:rsidR="00174A16" w:rsidRDefault="00174A16" w:rsidP="00174A16">
                            <w:pPr>
                              <w:rPr>
                                <w:color w:val="auto"/>
                              </w:rPr>
                            </w:pPr>
                          </w:p>
                          <w:p w:rsidR="00174A16" w:rsidRPr="00D67F4E" w:rsidRDefault="00174A16" w:rsidP="00174A16">
                            <w:pPr>
                              <w:rPr>
                                <w:color w:val="auto"/>
                              </w:rPr>
                            </w:pPr>
                          </w:p>
                        </w:txbxContent>
                      </wps:txbx>
                      <wps:bodyPr rot="0" vert="horz" wrap="square" lIns="91440" tIns="45720" rIns="91440" bIns="45720" anchor="t" anchorCtr="0" upright="1">
                        <a:noAutofit/>
                      </wps:bodyPr>
                    </wps:wsp>
                  </a:graphicData>
                </a:graphic>
              </wp:inline>
            </w:drawing>
          </mc:Choice>
          <mc:Fallback>
            <w:pict>
              <v:shape w14:anchorId="0B130B08" id="Text Box 131" o:spid="_x0000_s1027" type="#_x0000_t202" style="width:453.6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" fillcolor="white [3201]" strokecolor="#ed7d31 [3205]" strokeweight="1pt">
                <v:stroke dashstyle="dash"/>
                <v:shadow color="#868686"/>
                <v:textbox>
                  <w:txbxContent>
                    <w:p w:rsidR="00174A16" w:rsidRDefault="00174A16" w:rsidP="00174A16">
                      <w:pPr>
                        <w:rPr>
                          <w:color w:val="auto"/>
                        </w:rPr>
                      </w:pPr>
                      <w:r>
                        <w:rPr>
                          <w:color w:val="auto"/>
                        </w:rPr>
                        <w:t>Im Hinblick auf die Untersuchung von Nährstoffen in unserer Nahrung bietet es sich an den Versuch im Rahmen von Nachweis-Reaktionen durchzuführen.</w:t>
                      </w:r>
                    </w:p>
                    <w:p w:rsidR="00174A16" w:rsidRDefault="00174A16" w:rsidP="00174A16">
                      <w:pPr>
                        <w:rPr>
                          <w:color w:val="auto"/>
                        </w:rPr>
                      </w:pPr>
                      <w:r>
                        <w:rPr>
                          <w:color w:val="auto"/>
                        </w:rPr>
                        <w:t>Außerdem bietet es sich an, die SuS eigenständig Lebensmittel mitbringen zu lassen, von denen sie sicher wissen, dass Stärke enthalten ist bzw. von solchen, wo man es nicht direkt vermuten würde.</w:t>
                      </w:r>
                    </w:p>
                    <w:p w:rsidR="00174A16" w:rsidRDefault="00174A16" w:rsidP="00174A16">
                      <w:pPr>
                        <w:rPr>
                          <w:color w:val="auto"/>
                        </w:rPr>
                      </w:pPr>
                      <w:r>
                        <w:rPr>
                          <w:color w:val="auto"/>
                        </w:rPr>
                        <w:t>Als Blindprobe dient z.B. Wasser.</w:t>
                      </w:r>
                    </w:p>
                    <w:p w:rsidR="00174A16" w:rsidRDefault="00174A16" w:rsidP="00174A16">
                      <w:pPr>
                        <w:rPr>
                          <w:color w:val="auto"/>
                        </w:rPr>
                      </w:pPr>
                    </w:p>
                    <w:p w:rsidR="00174A16" w:rsidRPr="00D67F4E" w:rsidRDefault="00174A16" w:rsidP="00174A16">
                      <w:pPr>
                        <w:rPr>
                          <w:color w:val="auto"/>
                        </w:rPr>
                      </w:pPr>
                    </w:p>
                  </w:txbxContent>
                </v:textbox>
                <w10:anchorlock/>
              </v:shape>
            </w:pict>
          </mc:Fallback>
        </mc:AlternateContent>
      </w:r>
    </w:p>
    <w:p w:rsidR="0008007A" w:rsidRPr="00174A16" w:rsidRDefault="0008007A" w:rsidP="00174A16"/>
    <w:sectPr w:rsidR="0008007A" w:rsidRPr="00174A16"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16"/>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74A16"/>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7203"/>
  <w15:chartTrackingRefBased/>
  <w15:docId w15:val="{B06FACA6-3066-4B15-AC34-1CF1F4A9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174A16"/>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174A1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74A1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74A1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74A1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174A1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174A1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174A1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74A1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74A1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4A16"/>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174A16"/>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174A16"/>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174A16"/>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174A16"/>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174A16"/>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174A1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74A1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74A16"/>
    <w:rPr>
      <w:rFonts w:asciiTheme="majorHAnsi" w:eastAsiaTheme="majorEastAsia" w:hAnsiTheme="majorHAnsi" w:cstheme="majorBidi"/>
      <w:i/>
      <w:iCs/>
      <w:color w:val="404040" w:themeColor="text1" w:themeTint="BF"/>
      <w:sz w:val="20"/>
      <w:szCs w:val="20"/>
    </w:rPr>
  </w:style>
  <w:style w:type="character" w:customStyle="1" w:styleId="a-size-large">
    <w:name w:val="a-size-large"/>
    <w:basedOn w:val="Absatz-Standardschriftart"/>
    <w:rsid w:val="0017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9.jpeg"/><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hyperlink" Target="http://www.kids-and-science.de/experimente-fuer-kinder/detailansicht/datum/2009/07/23/backpulver-und-essig.html" TargetMode="External"/><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892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2016-08-09T13:03:00Z</dcterms:created>
  <dcterms:modified xsi:type="dcterms:W3CDTF">2016-08-09T13:05:00Z</dcterms:modified>
</cp:coreProperties>
</file>