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073" w:rsidRPr="00C26685" w:rsidRDefault="00C26685">
      <w:pPr>
        <w:rPr>
          <w:rFonts w:ascii="Cambria" w:hAnsi="Cambria"/>
          <w:b/>
          <w:sz w:val="24"/>
        </w:rPr>
      </w:pPr>
      <w:r w:rsidRPr="00C26685">
        <w:rPr>
          <w:rFonts w:ascii="Cambria" w:hAnsi="Cambria"/>
          <w:b/>
          <w:sz w:val="24"/>
        </w:rPr>
        <w:t xml:space="preserve">V1 – Trinkwassergewinnung aus Salzwasser </w:t>
      </w:r>
    </w:p>
    <w:p w:rsidR="00C26685" w:rsidRDefault="00C26685" w:rsidP="00C26685">
      <w:pPr>
        <w:spacing w:line="360" w:lineRule="auto"/>
        <w:contextualSpacing/>
        <w:jc w:val="both"/>
        <w:rPr>
          <w:rFonts w:ascii="Cambria" w:hAnsi="Cambria"/>
          <w:i/>
          <w:sz w:val="20"/>
        </w:rPr>
      </w:pPr>
      <w:r w:rsidRPr="00C26685">
        <w:rPr>
          <w:rFonts w:ascii="Cambria" w:hAnsi="Cambria"/>
          <w:i/>
          <w:sz w:val="20"/>
        </w:rPr>
        <w:t xml:space="preserve">Dieser Versuch dient zur Vorstellung der Destillation als Trennverfahren einer Lösung, welche sich die Siedetemperatur des Wassers zu Nutze macht. Damit kann ein Verfahren präsentiert werden, welches auch großtechnisch zur Trinkwassergewinnung angewandt wird. Bei dieser Form ist zusätzlich das Eindampfen integriert, da in der Lösung Salz enthalten ist, welches durch Erhitzen als Rückstand im Kolben verbleibt. Das „Trinkwasser“ (Destillat) wird in der Vorlage aufgefangen. Die </w:t>
      </w:r>
      <w:proofErr w:type="spellStart"/>
      <w:r w:rsidRPr="00C26685">
        <w:rPr>
          <w:rFonts w:ascii="Cambria" w:hAnsi="Cambria"/>
          <w:i/>
          <w:sz w:val="20"/>
        </w:rPr>
        <w:t>SuS</w:t>
      </w:r>
      <w:proofErr w:type="spellEnd"/>
      <w:r w:rsidRPr="00C26685">
        <w:rPr>
          <w:rFonts w:ascii="Cambria" w:hAnsi="Cambria"/>
          <w:i/>
          <w:sz w:val="20"/>
        </w:rPr>
        <w:t xml:space="preserve"> sollten sowohl mit den Aggregatzuständen vertraut sein als auch Kenntnisse zu den Siedepunkten haben. </w:t>
      </w:r>
    </w:p>
    <w:p w:rsidR="00C26685" w:rsidRPr="00C26685" w:rsidRDefault="00C26685" w:rsidP="00C26685">
      <w:pPr>
        <w:spacing w:line="360" w:lineRule="auto"/>
        <w:contextualSpacing/>
        <w:rPr>
          <w:rFonts w:ascii="Cambria" w:hAnsi="Cambria"/>
          <w:i/>
          <w:sz w:val="20"/>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26685" w:rsidRPr="00C26685" w:rsidTr="00280F5D">
        <w:tc>
          <w:tcPr>
            <w:tcW w:w="9322" w:type="dxa"/>
            <w:gridSpan w:val="9"/>
            <w:shd w:val="clear" w:color="auto" w:fill="4F81BD"/>
            <w:vAlign w:val="center"/>
          </w:tcPr>
          <w:p w:rsidR="00C26685" w:rsidRPr="00C26685" w:rsidRDefault="00C26685" w:rsidP="00C26685">
            <w:pPr>
              <w:spacing w:after="0" w:line="360" w:lineRule="auto"/>
              <w:contextualSpacing/>
              <w:rPr>
                <w:rFonts w:ascii="Cambria" w:hAnsi="Cambria"/>
                <w:b/>
                <w:bCs/>
                <w:color w:val="FFFFFF" w:themeColor="background1"/>
                <w:sz w:val="20"/>
              </w:rPr>
            </w:pPr>
            <w:r w:rsidRPr="00C26685">
              <w:rPr>
                <w:rFonts w:ascii="Cambria" w:hAnsi="Cambria"/>
                <w:b/>
                <w:bCs/>
                <w:color w:val="FFFFFF" w:themeColor="background1"/>
                <w:sz w:val="20"/>
              </w:rPr>
              <w:t>Gefahrenstoffe</w:t>
            </w:r>
          </w:p>
        </w:tc>
      </w:tr>
      <w:tr w:rsidR="00C26685" w:rsidRPr="00C26685" w:rsidTr="00280F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b/>
                <w:bCs/>
                <w:sz w:val="20"/>
              </w:rPr>
            </w:pPr>
            <w:r w:rsidRPr="00C26685">
              <w:rPr>
                <w:rFonts w:ascii="Cambria" w:hAnsi="Cambria"/>
                <w:sz w:val="18"/>
              </w:rPr>
              <w:t>Natriumchlorid</w:t>
            </w:r>
          </w:p>
        </w:tc>
        <w:tc>
          <w:tcPr>
            <w:tcW w:w="3177" w:type="dxa"/>
            <w:gridSpan w:val="3"/>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sz w:val="18"/>
              </w:rPr>
              <w:t xml:space="preserve">H: </w:t>
            </w:r>
            <w:r w:rsidRPr="00C26685">
              <w:rPr>
                <w:rFonts w:ascii="Cambria" w:hAnsi="Cambria"/>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sz w:val="18"/>
              </w:rPr>
              <w:t xml:space="preserve">P: </w:t>
            </w:r>
            <w:r w:rsidRPr="00C26685">
              <w:rPr>
                <w:rFonts w:ascii="Cambria" w:hAnsi="Cambria"/>
                <w:sz w:val="20"/>
              </w:rPr>
              <w:t>-</w:t>
            </w:r>
          </w:p>
        </w:tc>
      </w:tr>
      <w:tr w:rsidR="00C26685" w:rsidRPr="00C26685" w:rsidTr="00280F5D">
        <w:trPr>
          <w:trHeight w:val="434"/>
        </w:trPr>
        <w:tc>
          <w:tcPr>
            <w:tcW w:w="3027" w:type="dxa"/>
            <w:gridSpan w:val="3"/>
            <w:shd w:val="clear" w:color="auto" w:fill="auto"/>
            <w:vAlign w:val="center"/>
          </w:tcPr>
          <w:p w:rsidR="00C26685" w:rsidRPr="00C26685" w:rsidRDefault="00C26685" w:rsidP="00C26685">
            <w:pPr>
              <w:spacing w:after="0" w:line="360" w:lineRule="auto"/>
              <w:contextualSpacing/>
              <w:rPr>
                <w:rFonts w:ascii="Cambria" w:hAnsi="Cambria"/>
                <w:bCs/>
                <w:sz w:val="18"/>
              </w:rPr>
            </w:pPr>
            <w:r w:rsidRPr="00C26685">
              <w:rPr>
                <w:rFonts w:ascii="Cambria" w:hAnsi="Cambria"/>
                <w:bCs/>
                <w:sz w:val="18"/>
              </w:rPr>
              <w:t>Wasser</w:t>
            </w:r>
          </w:p>
        </w:tc>
        <w:tc>
          <w:tcPr>
            <w:tcW w:w="3177" w:type="dxa"/>
            <w:gridSpan w:val="3"/>
            <w:shd w:val="clear" w:color="auto" w:fill="auto"/>
            <w:vAlign w:val="center"/>
          </w:tcPr>
          <w:p w:rsidR="00C26685" w:rsidRPr="00C26685" w:rsidRDefault="00C26685" w:rsidP="00C26685">
            <w:pPr>
              <w:pStyle w:val="Beschriftung"/>
              <w:spacing w:after="0" w:line="360" w:lineRule="auto"/>
              <w:contextualSpacing/>
            </w:pPr>
            <w:r w:rsidRPr="00C26685">
              <w:t>H: -</w:t>
            </w:r>
          </w:p>
        </w:tc>
        <w:tc>
          <w:tcPr>
            <w:tcW w:w="3118" w:type="dxa"/>
            <w:gridSpan w:val="3"/>
            <w:shd w:val="clear" w:color="auto" w:fill="auto"/>
            <w:vAlign w:val="center"/>
          </w:tcPr>
          <w:p w:rsidR="00C26685" w:rsidRPr="00C26685" w:rsidRDefault="00C26685" w:rsidP="00C26685">
            <w:pPr>
              <w:pStyle w:val="Beschriftung"/>
              <w:spacing w:after="0" w:line="360" w:lineRule="auto"/>
              <w:contextualSpacing/>
            </w:pPr>
            <w:r w:rsidRPr="00C26685">
              <w:t>P: -</w:t>
            </w:r>
          </w:p>
        </w:tc>
      </w:tr>
      <w:tr w:rsidR="00C26685" w:rsidRPr="00C26685" w:rsidTr="00280F5D">
        <w:tc>
          <w:tcPr>
            <w:tcW w:w="1009" w:type="dxa"/>
            <w:tcBorders>
              <w:top w:val="single" w:sz="8" w:space="0" w:color="4F81BD"/>
              <w:left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b/>
                <w:bCs/>
                <w:sz w:val="20"/>
              </w:rPr>
            </w:pPr>
            <w:r w:rsidRPr="00C26685">
              <w:rPr>
                <w:rFonts w:ascii="Cambria" w:hAnsi="Cambria"/>
                <w:b/>
                <w:bCs/>
                <w:noProof/>
                <w:sz w:val="20"/>
              </w:rPr>
              <w:drawing>
                <wp:inline distT="0" distB="0" distL="0" distR="0" wp14:anchorId="1DD643C1" wp14:editId="3FF20247">
                  <wp:extent cx="540000" cy="540000"/>
                  <wp:effectExtent l="0" t="0" r="0" b="0"/>
                  <wp:docPr id="6" name="Grafik 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424E3C5A" wp14:editId="4E6E2B60">
                  <wp:extent cx="540000" cy="540000"/>
                  <wp:effectExtent l="0" t="0" r="0" b="0"/>
                  <wp:docPr id="5" name="Grafik 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7382E42E" wp14:editId="7F789E89">
                  <wp:extent cx="540000" cy="540000"/>
                  <wp:effectExtent l="0" t="0" r="0" b="0"/>
                  <wp:docPr id="8" name="Grafik 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5166E847" wp14:editId="73E9C508">
                  <wp:extent cx="540000" cy="540000"/>
                  <wp:effectExtent l="0" t="0" r="0" b="0"/>
                  <wp:docPr id="9" name="Grafik 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6A38AA8E" wp14:editId="1AF403F2">
                  <wp:extent cx="540000" cy="540000"/>
                  <wp:effectExtent l="0" t="0" r="0" b="0"/>
                  <wp:docPr id="10" name="Grafik 1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1E482625" wp14:editId="50EC1B01">
                  <wp:extent cx="540000" cy="540000"/>
                  <wp:effectExtent l="0" t="0" r="0" b="0"/>
                  <wp:docPr id="11" name="Grafik 1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0CD4CCBC" wp14:editId="5ABEF3D4">
                  <wp:extent cx="540000" cy="540000"/>
                  <wp:effectExtent l="0" t="0" r="0" b="0"/>
                  <wp:docPr id="13" name="Grafik 1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6A9CFA4F" wp14:editId="233B90ED">
                  <wp:extent cx="540000" cy="540000"/>
                  <wp:effectExtent l="0" t="0" r="0" b="0"/>
                  <wp:docPr id="22" name="Grafik 22"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26685" w:rsidRPr="00C26685" w:rsidRDefault="00C26685" w:rsidP="00C26685">
            <w:pPr>
              <w:spacing w:after="0" w:line="360" w:lineRule="auto"/>
              <w:contextualSpacing/>
              <w:rPr>
                <w:rFonts w:ascii="Cambria" w:hAnsi="Cambria"/>
                <w:sz w:val="20"/>
              </w:rPr>
            </w:pPr>
            <w:r w:rsidRPr="00C26685">
              <w:rPr>
                <w:rFonts w:ascii="Cambria" w:hAnsi="Cambria"/>
                <w:noProof/>
                <w:sz w:val="20"/>
              </w:rPr>
              <w:drawing>
                <wp:inline distT="0" distB="0" distL="0" distR="0" wp14:anchorId="3F33A0F9" wp14:editId="3AB3583C">
                  <wp:extent cx="540000" cy="540000"/>
                  <wp:effectExtent l="0" t="0" r="0" b="0"/>
                  <wp:docPr id="23" name="Grafik 23"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C26685" w:rsidRPr="00C26685" w:rsidRDefault="00C26685" w:rsidP="00C26685">
      <w:pPr>
        <w:tabs>
          <w:tab w:val="left" w:pos="1701"/>
          <w:tab w:val="left" w:pos="1985"/>
        </w:tabs>
        <w:spacing w:line="360" w:lineRule="auto"/>
        <w:contextualSpacing/>
        <w:rPr>
          <w:rFonts w:ascii="Cambria" w:hAnsi="Cambria"/>
          <w:sz w:val="20"/>
        </w:rPr>
      </w:pPr>
    </w:p>
    <w:p w:rsidR="00C26685" w:rsidRPr="00C26685" w:rsidRDefault="00C26685" w:rsidP="00C26685">
      <w:pPr>
        <w:spacing w:line="360" w:lineRule="auto"/>
        <w:ind w:left="1701" w:hanging="1701"/>
        <w:contextualSpacing/>
        <w:rPr>
          <w:rFonts w:ascii="Cambria" w:hAnsi="Cambria"/>
          <w:b/>
          <w:sz w:val="20"/>
        </w:rPr>
      </w:pPr>
      <w:r w:rsidRPr="00C26685">
        <w:rPr>
          <w:rFonts w:ascii="Cambria" w:hAnsi="Cambria"/>
          <w:b/>
          <w:sz w:val="20"/>
        </w:rPr>
        <w:t>Materialien:</w:t>
      </w:r>
    </w:p>
    <w:p w:rsidR="00C26685" w:rsidRPr="00C26685" w:rsidRDefault="00C26685" w:rsidP="00C26685">
      <w:pPr>
        <w:spacing w:line="360" w:lineRule="auto"/>
        <w:ind w:left="1701" w:hanging="1701"/>
        <w:contextualSpacing/>
        <w:rPr>
          <w:rFonts w:ascii="Cambria" w:hAnsi="Cambria" w:cstheme="minorHAnsi"/>
          <w:sz w:val="20"/>
        </w:rPr>
      </w:pPr>
      <w:r w:rsidRPr="00C26685">
        <w:rPr>
          <w:rFonts w:ascii="Cambria" w:hAnsi="Cambria" w:cstheme="minorHAnsi"/>
          <w:sz w:val="20"/>
        </w:rPr>
        <w:t xml:space="preserve">2 x Erlenmeyerkolben (100 </w:t>
      </w:r>
      <w:proofErr w:type="spellStart"/>
      <w:r w:rsidRPr="00C26685">
        <w:rPr>
          <w:rFonts w:ascii="Cambria" w:hAnsi="Cambria" w:cstheme="minorHAnsi"/>
          <w:sz w:val="20"/>
        </w:rPr>
        <w:t>mL</w:t>
      </w:r>
      <w:proofErr w:type="spellEnd"/>
      <w:r w:rsidRPr="00C26685">
        <w:rPr>
          <w:rFonts w:ascii="Cambria" w:hAnsi="Cambria" w:cstheme="minorHAnsi"/>
          <w:sz w:val="20"/>
        </w:rPr>
        <w:t>), Becherglas, Dreifuß, Gasbrenner, Glasrohr, Stopfen, 2 Stative,</w:t>
      </w:r>
    </w:p>
    <w:p w:rsidR="00C26685" w:rsidRPr="00C26685" w:rsidRDefault="00C26685" w:rsidP="00C26685">
      <w:pPr>
        <w:spacing w:line="360" w:lineRule="auto"/>
        <w:ind w:left="1701" w:hanging="1701"/>
        <w:contextualSpacing/>
        <w:rPr>
          <w:rFonts w:ascii="Cambria" w:hAnsi="Cambria" w:cstheme="minorHAnsi"/>
          <w:sz w:val="20"/>
        </w:rPr>
      </w:pPr>
      <w:r w:rsidRPr="00C26685">
        <w:rPr>
          <w:rFonts w:ascii="Cambria" w:hAnsi="Cambria" w:cstheme="minorHAnsi"/>
          <w:sz w:val="20"/>
        </w:rPr>
        <w:t>Klemmen, großes Becherglas</w:t>
      </w:r>
    </w:p>
    <w:p w:rsidR="00C26685" w:rsidRPr="00C26685" w:rsidRDefault="00C26685" w:rsidP="00C26685">
      <w:pPr>
        <w:spacing w:line="360" w:lineRule="auto"/>
        <w:contextualSpacing/>
        <w:rPr>
          <w:rFonts w:ascii="Cambria" w:hAnsi="Cambria"/>
          <w:sz w:val="20"/>
        </w:rPr>
      </w:pPr>
    </w:p>
    <w:p w:rsidR="00C26685" w:rsidRPr="00C26685" w:rsidRDefault="00C26685" w:rsidP="00C26685">
      <w:pPr>
        <w:spacing w:line="360" w:lineRule="auto"/>
        <w:ind w:left="1701" w:hanging="1701"/>
        <w:contextualSpacing/>
        <w:rPr>
          <w:rFonts w:ascii="Cambria" w:hAnsi="Cambria"/>
          <w:b/>
          <w:sz w:val="20"/>
        </w:rPr>
      </w:pPr>
      <w:r w:rsidRPr="00C26685">
        <w:rPr>
          <w:rFonts w:ascii="Cambria" w:hAnsi="Cambria"/>
          <w:b/>
          <w:sz w:val="20"/>
        </w:rPr>
        <w:t>Chemikalien:</w:t>
      </w:r>
    </w:p>
    <w:p w:rsidR="00C26685" w:rsidRPr="00C26685" w:rsidRDefault="00C26685" w:rsidP="00C26685">
      <w:pPr>
        <w:spacing w:line="360" w:lineRule="auto"/>
        <w:contextualSpacing/>
        <w:rPr>
          <w:rFonts w:ascii="Cambria" w:hAnsi="Cambria"/>
          <w:sz w:val="20"/>
        </w:rPr>
      </w:pPr>
      <w:r w:rsidRPr="00C26685">
        <w:rPr>
          <w:rFonts w:ascii="Cambria" w:hAnsi="Cambria"/>
          <w:sz w:val="20"/>
        </w:rPr>
        <w:t>Natriumchlorid, Wasser</w:t>
      </w:r>
    </w:p>
    <w:p w:rsidR="00C26685" w:rsidRPr="00C26685" w:rsidRDefault="00C26685" w:rsidP="00C26685">
      <w:pPr>
        <w:spacing w:line="360" w:lineRule="auto"/>
        <w:contextualSpacing/>
        <w:rPr>
          <w:rFonts w:ascii="Cambria" w:hAnsi="Cambria"/>
          <w:sz w:val="20"/>
        </w:rPr>
      </w:pPr>
    </w:p>
    <w:p w:rsidR="00C26685" w:rsidRPr="00C26685" w:rsidRDefault="00C26685" w:rsidP="00C26685">
      <w:pPr>
        <w:spacing w:line="360" w:lineRule="auto"/>
        <w:ind w:left="1701" w:hanging="1701"/>
        <w:contextualSpacing/>
        <w:rPr>
          <w:rFonts w:ascii="Cambria" w:hAnsi="Cambria"/>
          <w:b/>
          <w:sz w:val="20"/>
        </w:rPr>
      </w:pPr>
      <w:r w:rsidRPr="00C26685">
        <w:rPr>
          <w:rFonts w:ascii="Cambria" w:hAnsi="Cambria"/>
          <w:b/>
          <w:sz w:val="20"/>
        </w:rPr>
        <w:t>Durchführung:</w:t>
      </w:r>
    </w:p>
    <w:p w:rsidR="00C26685" w:rsidRPr="00C26685" w:rsidRDefault="00C26685" w:rsidP="003812AB">
      <w:pPr>
        <w:spacing w:line="360" w:lineRule="auto"/>
        <w:contextualSpacing/>
        <w:jc w:val="both"/>
        <w:rPr>
          <w:rFonts w:ascii="Cambria" w:hAnsi="Cambria"/>
          <w:sz w:val="20"/>
        </w:rPr>
      </w:pPr>
      <w:r w:rsidRPr="00C26685">
        <w:rPr>
          <w:rFonts w:ascii="Cambria" w:hAnsi="Cambria"/>
          <w:sz w:val="20"/>
        </w:rPr>
        <w:t>50 </w:t>
      </w:r>
      <w:proofErr w:type="spellStart"/>
      <w:r w:rsidRPr="00C26685">
        <w:rPr>
          <w:rFonts w:ascii="Cambria" w:hAnsi="Cambria"/>
          <w:sz w:val="20"/>
        </w:rPr>
        <w:t>mL</w:t>
      </w:r>
      <w:proofErr w:type="spellEnd"/>
      <w:r w:rsidRPr="00C26685">
        <w:rPr>
          <w:rFonts w:ascii="Cambria" w:hAnsi="Cambria"/>
          <w:sz w:val="20"/>
        </w:rPr>
        <w:t xml:space="preserve"> der </w:t>
      </w:r>
      <w:proofErr w:type="spellStart"/>
      <w:r w:rsidRPr="00C26685">
        <w:rPr>
          <w:rFonts w:ascii="Cambria" w:hAnsi="Cambria"/>
          <w:sz w:val="20"/>
        </w:rPr>
        <w:t>Natriumchloridlösung</w:t>
      </w:r>
      <w:proofErr w:type="spellEnd"/>
      <w:r w:rsidRPr="00C26685">
        <w:rPr>
          <w:rFonts w:ascii="Cambria" w:hAnsi="Cambria"/>
          <w:sz w:val="20"/>
        </w:rPr>
        <w:t xml:space="preserve"> werden in den Erlenmeyerkolben gegeben und langsam erhitzt, wobei das Destillat in einem weiteren Erlenmeyerkolben aufgefangen wird. Es wird so lange erhitzt, bis nur noch ein Salzrückstand im ersten Erlenmeyerkolben sichtbar ist. Nachdem dieser zu erken</w:t>
      </w:r>
      <w:bookmarkStart w:id="0" w:name="_GoBack"/>
      <w:bookmarkEnd w:id="0"/>
      <w:r w:rsidRPr="00C26685">
        <w:rPr>
          <w:rFonts w:ascii="Cambria" w:hAnsi="Cambria"/>
          <w:sz w:val="20"/>
        </w:rPr>
        <w:t>nen ist, wird der Gasbrenner entfernt.</w:t>
      </w:r>
    </w:p>
    <w:p w:rsidR="00C26685" w:rsidRDefault="00C26685" w:rsidP="00C26685">
      <w:pPr>
        <w:spacing w:line="360" w:lineRule="auto"/>
        <w:contextualSpacing/>
        <w:jc w:val="center"/>
        <w:rPr>
          <w:rFonts w:ascii="Cambria" w:hAnsi="Cambria"/>
          <w:sz w:val="18"/>
        </w:rPr>
      </w:pPr>
      <w:r w:rsidRPr="00C26685">
        <w:rPr>
          <w:rFonts w:ascii="Cambria" w:hAnsi="Cambria"/>
          <w:noProof/>
          <w:sz w:val="20"/>
        </w:rPr>
        <w:drawing>
          <wp:inline distT="0" distB="0" distL="0" distR="0" wp14:anchorId="0C219327" wp14:editId="7F170958">
            <wp:extent cx="2362008" cy="2567082"/>
            <wp:effectExtent l="0" t="0" r="635" b="5080"/>
            <wp:docPr id="1" name="Grafik 1" descr="C:\Users\Benja\AppData\Local\Microsoft\Windows\INetCache\Content.Word\19895112_1935619896720168_57689435424831824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ja\AppData\Local\Microsoft\Windows\INetCache\Content.Word\19895112_1935619896720168_5768943542483182481_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9392" cy="2575107"/>
                    </a:xfrm>
                    <a:prstGeom prst="rect">
                      <a:avLst/>
                    </a:prstGeom>
                    <a:noFill/>
                    <a:ln>
                      <a:noFill/>
                    </a:ln>
                  </pic:spPr>
                </pic:pic>
              </a:graphicData>
            </a:graphic>
          </wp:inline>
        </w:drawing>
      </w:r>
    </w:p>
    <w:p w:rsidR="00C26685" w:rsidRPr="00C26685" w:rsidRDefault="00C26685" w:rsidP="00C26685">
      <w:pPr>
        <w:spacing w:line="360" w:lineRule="auto"/>
        <w:contextualSpacing/>
        <w:jc w:val="center"/>
        <w:rPr>
          <w:rFonts w:ascii="Cambria" w:hAnsi="Cambria"/>
          <w:sz w:val="20"/>
        </w:rPr>
      </w:pPr>
      <w:r w:rsidRPr="00C26685">
        <w:rPr>
          <w:rFonts w:ascii="Cambria" w:hAnsi="Cambria"/>
          <w:sz w:val="18"/>
        </w:rPr>
        <w:t xml:space="preserve">Abb. </w:t>
      </w:r>
      <w:r w:rsidRPr="00C26685">
        <w:rPr>
          <w:rFonts w:ascii="Cambria" w:hAnsi="Cambria"/>
          <w:sz w:val="18"/>
        </w:rPr>
        <w:fldChar w:fldCharType="begin"/>
      </w:r>
      <w:r w:rsidRPr="00C26685">
        <w:rPr>
          <w:rFonts w:ascii="Cambria" w:hAnsi="Cambria"/>
          <w:sz w:val="18"/>
        </w:rPr>
        <w:instrText xml:space="preserve"> SEQ Abb. \* ARABIC </w:instrText>
      </w:r>
      <w:r w:rsidRPr="00C26685">
        <w:rPr>
          <w:rFonts w:ascii="Cambria" w:hAnsi="Cambria"/>
          <w:sz w:val="18"/>
        </w:rPr>
        <w:fldChar w:fldCharType="separate"/>
      </w:r>
      <w:r w:rsidRPr="00C26685">
        <w:rPr>
          <w:rFonts w:ascii="Cambria" w:hAnsi="Cambria"/>
          <w:noProof/>
          <w:sz w:val="18"/>
        </w:rPr>
        <w:t>1</w:t>
      </w:r>
      <w:r w:rsidRPr="00C26685">
        <w:rPr>
          <w:rFonts w:ascii="Cambria" w:hAnsi="Cambria"/>
          <w:noProof/>
          <w:sz w:val="18"/>
        </w:rPr>
        <w:fldChar w:fldCharType="end"/>
      </w:r>
      <w:r w:rsidRPr="00C26685">
        <w:rPr>
          <w:rFonts w:ascii="Cambria" w:hAnsi="Cambria"/>
          <w:sz w:val="18"/>
        </w:rPr>
        <w:t xml:space="preserve"> –</w:t>
      </w:r>
      <w:r w:rsidRPr="00C26685">
        <w:rPr>
          <w:rFonts w:ascii="Cambria" w:hAnsi="Cambria"/>
          <w:noProof/>
          <w:sz w:val="18"/>
        </w:rPr>
        <w:t xml:space="preserve"> Versuchsaufbau für die Trinkwassergewinnung aus Salzwasser</w:t>
      </w:r>
    </w:p>
    <w:p w:rsidR="00C26685" w:rsidRPr="00C26685" w:rsidRDefault="00C26685" w:rsidP="00C26685">
      <w:pPr>
        <w:spacing w:line="360" w:lineRule="auto"/>
        <w:ind w:left="1701" w:hanging="1701"/>
        <w:contextualSpacing/>
        <w:rPr>
          <w:rFonts w:ascii="Cambria" w:hAnsi="Cambria"/>
          <w:b/>
          <w:sz w:val="20"/>
        </w:rPr>
      </w:pPr>
      <w:r w:rsidRPr="00C26685">
        <w:rPr>
          <w:rFonts w:ascii="Cambria" w:hAnsi="Cambria"/>
          <w:b/>
          <w:sz w:val="20"/>
        </w:rPr>
        <w:lastRenderedPageBreak/>
        <w:t>Beobachtung:</w:t>
      </w:r>
    </w:p>
    <w:p w:rsidR="00C26685" w:rsidRPr="00C26685" w:rsidRDefault="00C26685" w:rsidP="003812AB">
      <w:pPr>
        <w:spacing w:line="360" w:lineRule="auto"/>
        <w:contextualSpacing/>
        <w:jc w:val="both"/>
        <w:rPr>
          <w:rFonts w:ascii="Cambria" w:hAnsi="Cambria"/>
          <w:sz w:val="20"/>
        </w:rPr>
      </w:pPr>
      <w:r w:rsidRPr="00C26685">
        <w:rPr>
          <w:rFonts w:ascii="Cambria" w:hAnsi="Cambria"/>
          <w:sz w:val="20"/>
        </w:rPr>
        <w:t xml:space="preserve">Nach dem Erhitzen der </w:t>
      </w:r>
      <w:proofErr w:type="spellStart"/>
      <w:r w:rsidRPr="00C26685">
        <w:rPr>
          <w:rFonts w:ascii="Cambria" w:hAnsi="Cambria"/>
          <w:sz w:val="20"/>
        </w:rPr>
        <w:t>Natriumchloridlösung</w:t>
      </w:r>
      <w:proofErr w:type="spellEnd"/>
      <w:r w:rsidRPr="00C26685">
        <w:rPr>
          <w:rFonts w:ascii="Cambria" w:hAnsi="Cambria"/>
          <w:sz w:val="20"/>
        </w:rPr>
        <w:t>, fängt diese an zu sieden. Der Wasserdampf der dabei entsteht, kühlt sowohl in dem Glasrohr als auch in der Vorlage ab. Sobald kein Wasser mehr in der Lösung vorhanden ist, ist auch der Salzrückstand in dem Erlenmeyerkolben sichtbar. In der Vorlage befindet sich das Destillat.</w:t>
      </w:r>
    </w:p>
    <w:p w:rsidR="00C26685" w:rsidRPr="00C26685" w:rsidRDefault="00C26685" w:rsidP="00C26685">
      <w:pPr>
        <w:spacing w:line="360" w:lineRule="auto"/>
        <w:contextualSpacing/>
        <w:rPr>
          <w:rFonts w:ascii="Cambria" w:hAnsi="Cambria"/>
          <w:sz w:val="20"/>
        </w:rPr>
      </w:pPr>
    </w:p>
    <w:p w:rsidR="00C26685" w:rsidRPr="00C26685" w:rsidRDefault="00C26685" w:rsidP="00C26685">
      <w:pPr>
        <w:spacing w:line="360" w:lineRule="auto"/>
        <w:contextualSpacing/>
        <w:jc w:val="center"/>
        <w:rPr>
          <w:rFonts w:ascii="Cambria" w:hAnsi="Cambria"/>
          <w:sz w:val="20"/>
        </w:rPr>
      </w:pPr>
      <w:r w:rsidRPr="00C26685">
        <w:rPr>
          <w:rFonts w:ascii="Cambria" w:hAnsi="Cambria"/>
          <w:noProof/>
          <w:sz w:val="20"/>
        </w:rPr>
        <w:drawing>
          <wp:inline distT="0" distB="0" distL="0" distR="0" wp14:anchorId="3FCF54CD" wp14:editId="0FF50562">
            <wp:extent cx="2241754" cy="2989007"/>
            <wp:effectExtent l="0" t="0" r="6350" b="1905"/>
            <wp:docPr id="2" name="Grafik 2" descr="C:\Users\Benja\AppData\Local\Microsoft\Windows\INetCache\Content.Word\20139664_1935619820053509_5433707402551061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ja\AppData\Local\Microsoft\Windows\INetCache\Content.Word\20139664_1935619820053509_543370740255106180_n.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9153" cy="2998872"/>
                    </a:xfrm>
                    <a:prstGeom prst="rect">
                      <a:avLst/>
                    </a:prstGeom>
                    <a:noFill/>
                    <a:ln>
                      <a:noFill/>
                    </a:ln>
                  </pic:spPr>
                </pic:pic>
              </a:graphicData>
            </a:graphic>
          </wp:inline>
        </w:drawing>
      </w:r>
    </w:p>
    <w:p w:rsidR="00C26685" w:rsidRPr="00C26685" w:rsidRDefault="00C26685" w:rsidP="00C26685">
      <w:pPr>
        <w:pStyle w:val="Beschriftung"/>
        <w:spacing w:line="360" w:lineRule="auto"/>
        <w:contextualSpacing/>
        <w:jc w:val="center"/>
        <w:rPr>
          <w:noProof/>
        </w:rPr>
      </w:pPr>
      <w:r w:rsidRPr="00C26685">
        <w:t>Abb. 2 –</w:t>
      </w:r>
      <w:r w:rsidRPr="00C26685">
        <w:rPr>
          <w:noProof/>
        </w:rPr>
        <w:t xml:space="preserve"> Der Salzrückstand in dem Erlenmeyerkolben.</w:t>
      </w:r>
    </w:p>
    <w:p w:rsidR="00C26685" w:rsidRPr="00C26685" w:rsidRDefault="00C26685" w:rsidP="00C26685">
      <w:pPr>
        <w:spacing w:line="360" w:lineRule="auto"/>
        <w:rPr>
          <w:rFonts w:ascii="Cambria" w:hAnsi="Cambria"/>
          <w:sz w:val="20"/>
        </w:rPr>
      </w:pPr>
    </w:p>
    <w:p w:rsidR="00C26685" w:rsidRPr="00C26685" w:rsidRDefault="00C26685" w:rsidP="00C26685">
      <w:pPr>
        <w:spacing w:line="360" w:lineRule="auto"/>
        <w:rPr>
          <w:rFonts w:ascii="Cambria" w:hAnsi="Cambria"/>
          <w:b/>
          <w:sz w:val="20"/>
        </w:rPr>
      </w:pPr>
      <w:r w:rsidRPr="00C26685">
        <w:rPr>
          <w:rFonts w:ascii="Cambria" w:hAnsi="Cambria"/>
          <w:b/>
          <w:sz w:val="20"/>
        </w:rPr>
        <w:t>Fachwissenschaftliche Deutung:</w:t>
      </w:r>
    </w:p>
    <w:p w:rsidR="00C26685" w:rsidRPr="00C26685" w:rsidRDefault="00C26685" w:rsidP="003812AB">
      <w:pPr>
        <w:spacing w:line="360" w:lineRule="auto"/>
        <w:jc w:val="both"/>
        <w:rPr>
          <w:rFonts w:ascii="Cambria" w:hAnsi="Cambria"/>
          <w:sz w:val="20"/>
          <w:vertAlign w:val="superscript"/>
        </w:rPr>
      </w:pPr>
      <w:r w:rsidRPr="00C26685">
        <w:rPr>
          <w:rFonts w:ascii="Cambria" w:hAnsi="Cambria"/>
          <w:sz w:val="20"/>
        </w:rPr>
        <w:t>Bevor die Lösung erhitzt wird, liegt das Wasser in der flüssigen Phase vor, wobei die Anziehungskräfte der Wasserteilchen im Gegensatz zu der festen Phase schwächer sind, aber immer noch bestehen. Sobald thermische Energie, in diesem Fall das Erhitzen der Lösung hinzukommt, werden die Anziehungskräfte immer schwächer, da dadurch eine stärkere Teilchenbewegung hervorgerufen wird. Bei ca. 100 °C</w:t>
      </w:r>
      <w:r w:rsidRPr="00C26685" w:rsidDel="000F1E7E">
        <w:rPr>
          <w:rFonts w:ascii="Cambria" w:hAnsi="Cambria"/>
          <w:sz w:val="20"/>
        </w:rPr>
        <w:t xml:space="preserve"> </w:t>
      </w:r>
      <w:r w:rsidRPr="00C26685">
        <w:rPr>
          <w:rFonts w:ascii="Cambria" w:hAnsi="Cambria"/>
          <w:sz w:val="20"/>
        </w:rPr>
        <w:t>sind die Anziehungskräfte so gering und die Teilchenbewegung so stark, dass ein Übergang zur gasförmigen Phase ermöglicht wird. Durch die Abkühlung in dem Glasrohr, nehmen die Teilchenbewegungen ab und die Anziehungskräfte wieder zu, weshalb die Teilchen in die flüssige Phase überführt werden. Dieser Übergang wird als Kondensation bezeichnet. Das Natriumchlorid bleibt als Feststoff erhalten, da die verwendeten Temperaturen nicht ausreichen, um das Natriumchlorid zum Schmelzen zu bringen.</w:t>
      </w:r>
    </w:p>
    <w:p w:rsidR="00C26685" w:rsidRPr="00C26685" w:rsidRDefault="00C26685" w:rsidP="00C26685">
      <w:pPr>
        <w:spacing w:line="360" w:lineRule="auto"/>
        <w:ind w:left="1701" w:hanging="1701"/>
        <w:contextualSpacing/>
        <w:rPr>
          <w:rFonts w:ascii="Cambria" w:hAnsi="Cambria"/>
          <w:sz w:val="20"/>
        </w:rPr>
      </w:pPr>
      <w:r w:rsidRPr="00C26685">
        <w:rPr>
          <w:rFonts w:ascii="Cambria" w:hAnsi="Cambria"/>
          <w:b/>
          <w:sz w:val="20"/>
        </w:rPr>
        <w:t>Didaktisch reduzierte Deutung:</w:t>
      </w:r>
    </w:p>
    <w:p w:rsidR="00C26685" w:rsidRPr="00C26685" w:rsidRDefault="00C26685" w:rsidP="003812AB">
      <w:pPr>
        <w:spacing w:line="360" w:lineRule="auto"/>
        <w:contextualSpacing/>
        <w:jc w:val="both"/>
        <w:rPr>
          <w:rFonts w:ascii="Cambria" w:hAnsi="Cambria"/>
          <w:sz w:val="20"/>
        </w:rPr>
      </w:pPr>
      <w:r w:rsidRPr="00C26685">
        <w:rPr>
          <w:rFonts w:ascii="Cambria" w:hAnsi="Cambria"/>
          <w:sz w:val="20"/>
        </w:rPr>
        <w:t xml:space="preserve">Wasser hat einen relativ niedrigen Siedepunkt (ca.100 °C). Unter diesem Siedepunkt liegt das Wasser in flüssiger Phase vor. Wird das Wasser bis zum Siedepunkt erhitzt, so fängt es an zu verdampfen. Dabei geht das Wasser in den gasförmigen Aggregatzustand über. Durch die Luftkühlung und das </w:t>
      </w:r>
      <w:proofErr w:type="spellStart"/>
      <w:r w:rsidRPr="00C26685">
        <w:rPr>
          <w:rFonts w:ascii="Cambria" w:hAnsi="Cambria"/>
          <w:sz w:val="20"/>
        </w:rPr>
        <w:t>Eisbad</w:t>
      </w:r>
      <w:proofErr w:type="spellEnd"/>
      <w:r w:rsidRPr="00C26685">
        <w:rPr>
          <w:rFonts w:ascii="Cambria" w:hAnsi="Cambria"/>
          <w:sz w:val="20"/>
        </w:rPr>
        <w:t xml:space="preserve"> an der Vorlage, wird das Wasser, das sich in der gasförmigen Phase befindet, abgekühlt und kondensiert. Das nun </w:t>
      </w:r>
      <w:r w:rsidRPr="00C26685">
        <w:rPr>
          <w:rFonts w:ascii="Cambria" w:hAnsi="Cambria"/>
          <w:sz w:val="20"/>
        </w:rPr>
        <w:lastRenderedPageBreak/>
        <w:t>flüssige Wasser wird in der Vorlage aufgefangen. Das Salz besitzt diese Stoffeigenschaft bei diesen Temperaturen nicht und bleibt in dem Erlenmeyerkolben als Salzrückstand zurück.</w:t>
      </w:r>
    </w:p>
    <w:p w:rsidR="00C26685" w:rsidRPr="00C26685" w:rsidRDefault="00C26685" w:rsidP="003812AB">
      <w:pPr>
        <w:spacing w:line="360" w:lineRule="auto"/>
        <w:contextualSpacing/>
        <w:jc w:val="both"/>
        <w:rPr>
          <w:rFonts w:ascii="Cambria" w:hAnsi="Cambria"/>
          <w:sz w:val="20"/>
        </w:rPr>
      </w:pPr>
    </w:p>
    <w:p w:rsidR="00C26685" w:rsidRPr="00C26685" w:rsidRDefault="00C26685" w:rsidP="003812AB">
      <w:pPr>
        <w:spacing w:line="360" w:lineRule="auto"/>
        <w:ind w:left="1701" w:hanging="1701"/>
        <w:contextualSpacing/>
        <w:jc w:val="both"/>
        <w:rPr>
          <w:rFonts w:ascii="Cambria" w:hAnsi="Cambria"/>
          <w:b/>
          <w:sz w:val="20"/>
        </w:rPr>
      </w:pPr>
      <w:r w:rsidRPr="00C26685">
        <w:rPr>
          <w:rFonts w:ascii="Cambria" w:hAnsi="Cambria"/>
          <w:b/>
          <w:sz w:val="20"/>
        </w:rPr>
        <w:t>Entsorgung:</w:t>
      </w:r>
    </w:p>
    <w:p w:rsidR="00C26685" w:rsidRPr="00C26685" w:rsidRDefault="00C26685" w:rsidP="003812AB">
      <w:pPr>
        <w:spacing w:line="360" w:lineRule="auto"/>
        <w:contextualSpacing/>
        <w:jc w:val="both"/>
        <w:rPr>
          <w:rFonts w:ascii="Cambria" w:hAnsi="Cambria"/>
          <w:sz w:val="20"/>
        </w:rPr>
      </w:pPr>
      <w:r w:rsidRPr="00C26685">
        <w:rPr>
          <w:rFonts w:ascii="Cambria" w:hAnsi="Cambria"/>
          <w:sz w:val="20"/>
        </w:rPr>
        <w:t>Der Salzrückstand, welcher in Wasser gelöst wird, und das Destillat können über den Abfluss entsorgt werden.</w:t>
      </w:r>
    </w:p>
    <w:p w:rsidR="00C26685" w:rsidRPr="00C26685" w:rsidRDefault="00C26685" w:rsidP="003812AB">
      <w:pPr>
        <w:spacing w:line="360" w:lineRule="auto"/>
        <w:contextualSpacing/>
        <w:jc w:val="both"/>
        <w:rPr>
          <w:rFonts w:ascii="Cambria" w:hAnsi="Cambria"/>
          <w:sz w:val="20"/>
        </w:rPr>
      </w:pPr>
    </w:p>
    <w:p w:rsidR="00C26685" w:rsidRPr="00C26685" w:rsidRDefault="00C26685" w:rsidP="003812AB">
      <w:pPr>
        <w:spacing w:line="360" w:lineRule="auto"/>
        <w:ind w:left="1701" w:hanging="1701"/>
        <w:contextualSpacing/>
        <w:jc w:val="both"/>
        <w:rPr>
          <w:rFonts w:ascii="Cambria" w:hAnsi="Cambria"/>
          <w:b/>
          <w:sz w:val="20"/>
        </w:rPr>
      </w:pPr>
      <w:r w:rsidRPr="00C26685">
        <w:rPr>
          <w:rFonts w:ascii="Cambria" w:hAnsi="Cambria"/>
          <w:b/>
          <w:sz w:val="20"/>
        </w:rPr>
        <w:t>Literatur:</w:t>
      </w:r>
    </w:p>
    <w:p w:rsidR="00C26685" w:rsidRPr="00C26685" w:rsidRDefault="00C26685" w:rsidP="003812AB">
      <w:pPr>
        <w:spacing w:line="360" w:lineRule="auto"/>
        <w:contextualSpacing/>
        <w:jc w:val="both"/>
        <w:rPr>
          <w:rFonts w:ascii="Cambria" w:hAnsi="Cambria"/>
          <w:sz w:val="20"/>
        </w:rPr>
      </w:pPr>
      <w:r w:rsidRPr="00C26685">
        <w:rPr>
          <w:rFonts w:ascii="Cambria" w:hAnsi="Cambria"/>
          <w:sz w:val="20"/>
        </w:rPr>
        <w:t>[1] W. Eisner, et al., Elemente Chemie 1A, Klett, 1. Auflage, 2003, S. 52.</w:t>
      </w:r>
    </w:p>
    <w:p w:rsidR="00C26685" w:rsidRPr="00C26685" w:rsidRDefault="00C26685" w:rsidP="003812AB">
      <w:pPr>
        <w:spacing w:line="360" w:lineRule="auto"/>
        <w:contextualSpacing/>
        <w:jc w:val="both"/>
        <w:rPr>
          <w:rFonts w:ascii="Cambria" w:hAnsi="Cambria"/>
          <w:sz w:val="20"/>
        </w:rPr>
      </w:pPr>
    </w:p>
    <w:p w:rsidR="00C26685" w:rsidRPr="00C26685" w:rsidRDefault="00C26685" w:rsidP="003812AB">
      <w:pPr>
        <w:spacing w:line="360" w:lineRule="auto"/>
        <w:contextualSpacing/>
        <w:jc w:val="both"/>
        <w:rPr>
          <w:rFonts w:ascii="Cambria" w:hAnsi="Cambria"/>
          <w:b/>
          <w:sz w:val="20"/>
        </w:rPr>
      </w:pPr>
      <w:r w:rsidRPr="00C26685">
        <w:rPr>
          <w:rFonts w:ascii="Cambria" w:hAnsi="Cambria"/>
          <w:b/>
          <w:sz w:val="20"/>
        </w:rPr>
        <w:t xml:space="preserve">Unterrichtsanschlüsse: </w:t>
      </w:r>
    </w:p>
    <w:p w:rsidR="00C26685" w:rsidRPr="00C26685" w:rsidRDefault="00C26685" w:rsidP="003812AB">
      <w:pPr>
        <w:spacing w:line="360" w:lineRule="auto"/>
        <w:contextualSpacing/>
        <w:jc w:val="both"/>
        <w:rPr>
          <w:rFonts w:ascii="Cambria" w:hAnsi="Cambria"/>
          <w:sz w:val="20"/>
        </w:rPr>
      </w:pPr>
      <w:r w:rsidRPr="00C26685">
        <w:rPr>
          <w:rFonts w:ascii="Cambria" w:hAnsi="Cambria"/>
          <w:sz w:val="20"/>
        </w:rPr>
        <w:t xml:space="preserve">Dieser Versuch eignet sich gut zur Einführung der Destillation, da die Brücke zu einem Weltproblem, nämlich der Trinkwasserknappheit, geschlagen wird. Weiterhin wird im niedersächsischen Kerncurriculum des Fachs Erdkunde gefordert, dass die </w:t>
      </w:r>
      <w:proofErr w:type="spellStart"/>
      <w:r w:rsidRPr="00C26685">
        <w:rPr>
          <w:rFonts w:ascii="Cambria" w:hAnsi="Cambria"/>
          <w:sz w:val="20"/>
        </w:rPr>
        <w:t>SuS</w:t>
      </w:r>
      <w:proofErr w:type="spellEnd"/>
      <w:r w:rsidRPr="00C26685">
        <w:rPr>
          <w:rFonts w:ascii="Cambria" w:hAnsi="Cambria"/>
          <w:sz w:val="20"/>
        </w:rPr>
        <w:t xml:space="preserve"> Wasser- und Gesteinskreisläufe beschreiben, sodass ein fächerübergreifender Unterricht stattfinden kann. Das Besondere an diesem Versuch ist die Kombination zwischen Destillation und Eindampfen. Den </w:t>
      </w:r>
      <w:proofErr w:type="spellStart"/>
      <w:r w:rsidRPr="00C26685">
        <w:rPr>
          <w:rFonts w:ascii="Cambria" w:hAnsi="Cambria"/>
          <w:sz w:val="20"/>
        </w:rPr>
        <w:t>SuS</w:t>
      </w:r>
      <w:proofErr w:type="spellEnd"/>
      <w:r w:rsidRPr="00C26685">
        <w:rPr>
          <w:rFonts w:ascii="Cambria" w:hAnsi="Cambria"/>
          <w:sz w:val="20"/>
        </w:rPr>
        <w:t xml:space="preserve"> kann damit verdeutlicht werden, dass mehrere Trennverfahren gleichzeitig funktionieren können.</w:t>
      </w:r>
    </w:p>
    <w:p w:rsidR="00C26685" w:rsidRDefault="00C26685"/>
    <w:sectPr w:rsidR="00C266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39"/>
    <w:rsid w:val="003812AB"/>
    <w:rsid w:val="00416073"/>
    <w:rsid w:val="00C26685"/>
    <w:rsid w:val="00E656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C26685"/>
    <w:pPr>
      <w:spacing w:after="200" w:line="240" w:lineRule="auto"/>
      <w:jc w:val="both"/>
    </w:pPr>
    <w:rPr>
      <w:rFonts w:ascii="Cambria" w:eastAsiaTheme="minorHAnsi" w:hAnsi="Cambria"/>
      <w:bCs/>
      <w:sz w:val="18"/>
      <w:szCs w:val="18"/>
      <w:lang w:eastAsia="en-US"/>
    </w:rPr>
  </w:style>
  <w:style w:type="paragraph" w:styleId="Sprechblasentext">
    <w:name w:val="Balloon Text"/>
    <w:basedOn w:val="Standard"/>
    <w:link w:val="SprechblasentextZchn"/>
    <w:uiPriority w:val="99"/>
    <w:semiHidden/>
    <w:unhideWhenUsed/>
    <w:rsid w:val="00C266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C26685"/>
    <w:pPr>
      <w:spacing w:after="200" w:line="240" w:lineRule="auto"/>
      <w:jc w:val="both"/>
    </w:pPr>
    <w:rPr>
      <w:rFonts w:ascii="Cambria" w:eastAsiaTheme="minorHAnsi" w:hAnsi="Cambria"/>
      <w:bCs/>
      <w:sz w:val="18"/>
      <w:szCs w:val="18"/>
      <w:lang w:eastAsia="en-US"/>
    </w:rPr>
  </w:style>
  <w:style w:type="paragraph" w:styleId="Sprechblasentext">
    <w:name w:val="Balloon Text"/>
    <w:basedOn w:val="Standard"/>
    <w:link w:val="SprechblasentextZchn"/>
    <w:uiPriority w:val="99"/>
    <w:semiHidden/>
    <w:unhideWhenUsed/>
    <w:rsid w:val="00C266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66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theme" Target="theme/theme1.xml"/><Relationship Id="rId7" Type="http://schemas.microsoft.com/office/2007/relationships/hdphoto" Target="media/hdphoto1.wdp"/><Relationship Id="rId12" Type="http://schemas.openxmlformats.org/officeDocument/2006/relationships/image" Target="media/image7.png"/><Relationship Id="rId17" Type="http://schemas.microsoft.com/office/2007/relationships/hdphoto" Target="media/hdphoto4.wdp"/><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microsoft.com/office/2007/relationships/hdphoto" Target="media/hdphoto3.wdp"/><Relationship Id="rId10" Type="http://schemas.openxmlformats.org/officeDocument/2006/relationships/image" Target="media/image5.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635A31F2.dotm</Template>
  <TotalTime>0</TotalTime>
  <Pages>3</Pages>
  <Words>551</Words>
  <Characters>3472</Characters>
  <Application>Microsoft Office Word</Application>
  <DocSecurity>0</DocSecurity>
  <Lines>28</Lines>
  <Paragraphs>8</Paragraphs>
  <ScaleCrop>false</ScaleCrop>
  <Company>Universität Göttingen</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Krasniqi, Habibe</dc:creator>
  <cp:keywords/>
  <dc:description/>
  <cp:lastModifiedBy>Krasniqi, Habibe</cp:lastModifiedBy>
  <cp:revision>3</cp:revision>
  <dcterms:created xsi:type="dcterms:W3CDTF">2017-09-28T14:26:00Z</dcterms:created>
  <dcterms:modified xsi:type="dcterms:W3CDTF">2017-09-29T07:42:00Z</dcterms:modified>
</cp:coreProperties>
</file>