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5C" w:rsidRPr="008F0A5C" w:rsidRDefault="008F0A5C" w:rsidP="008F0A5C">
      <w:pPr>
        <w:pStyle w:val="berschrift2"/>
        <w:contextualSpacing/>
        <w:rPr>
          <w:rFonts w:ascii="Cambria" w:hAnsi="Cambria"/>
          <w:color w:val="auto"/>
          <w:szCs w:val="22"/>
        </w:rPr>
      </w:pPr>
      <w:bookmarkStart w:id="0" w:name="_Toc489006752"/>
      <w:r w:rsidRPr="008F0A5C">
        <w:rPr>
          <w:rFonts w:ascii="Cambria" w:hAnsi="Cambria"/>
          <w:color w:val="auto"/>
          <w:szCs w:val="22"/>
        </w:rPr>
        <w:t>V2 – Die Re</w:t>
      </w:r>
      <w:bookmarkStart w:id="1" w:name="_GoBack"/>
      <w:bookmarkEnd w:id="1"/>
      <w:r w:rsidRPr="008F0A5C">
        <w:rPr>
          <w:rFonts w:ascii="Cambria" w:hAnsi="Cambria"/>
          <w:color w:val="auto"/>
          <w:szCs w:val="22"/>
        </w:rPr>
        <w:t>instoffunterscheidung hinsichtlich spezifischer Eigenschaften</w:t>
      </w:r>
      <w:bookmarkEnd w:id="0"/>
    </w:p>
    <w:p w:rsidR="008F0A5C" w:rsidRPr="008F0A5C" w:rsidRDefault="008F0A5C" w:rsidP="008F0A5C">
      <w:pPr>
        <w:rPr>
          <w:i/>
          <w:color w:val="auto"/>
        </w:rPr>
      </w:pPr>
      <w:r w:rsidRPr="008F0A5C">
        <w:rPr>
          <w:i/>
          <w:color w:val="auto"/>
        </w:rPr>
        <w:t xml:space="preserve">In diesem Versuch sollen die unterschiedlichen Eigenschaften von Reinstoffen untersucht werden. Dahingehend werden Haushaltszucker und Kochsalz, aufgrund ihrer u.a. äußerlichen Ähnlichkeit auf spezifische Eigenschaften untersucht, wobei Unterschiede und Gemeinsamkeiten herausgestellt werden sollen. Ziel soll es unter anderem dabei sein, Stoffe anhand der mit Sinnen erfahrbaren Eigenschaften zu unterscheiden und die </w:t>
      </w:r>
      <w:proofErr w:type="spellStart"/>
      <w:r w:rsidRPr="008F0A5C">
        <w:rPr>
          <w:i/>
          <w:color w:val="auto"/>
        </w:rPr>
        <w:t>SuS</w:t>
      </w:r>
      <w:proofErr w:type="spellEnd"/>
      <w:r w:rsidRPr="008F0A5C">
        <w:rPr>
          <w:i/>
          <w:color w:val="auto"/>
        </w:rPr>
        <w:t xml:space="preserve"> darauf aufmerksam zu machen, dass gewisse Stoffeige</w:t>
      </w:r>
      <w:r w:rsidRPr="008F0A5C">
        <w:rPr>
          <w:i/>
          <w:color w:val="auto"/>
        </w:rPr>
        <w:t>n</w:t>
      </w:r>
      <w:r w:rsidRPr="008F0A5C">
        <w:rPr>
          <w:i/>
          <w:color w:val="auto"/>
        </w:rPr>
        <w:t>schaften hinsichtlich der Trennverfahren eine große Rolle spielen. Der Versuch wird hier als Lehrer-Schülerversuch durchgeführt, da die sichere Handhabung mit dem Gasbrenner in der 5. Klasse wahrscheinlich nicht gewährleistet ist.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F0A5C" w:rsidRPr="008F0A5C" w:rsidTr="0033719F">
        <w:tc>
          <w:tcPr>
            <w:tcW w:w="9322" w:type="dxa"/>
            <w:gridSpan w:val="9"/>
            <w:shd w:val="clear" w:color="auto" w:fill="4F81BD"/>
            <w:vAlign w:val="center"/>
          </w:tcPr>
          <w:p w:rsidR="008F0A5C" w:rsidRPr="008F0A5C" w:rsidRDefault="008F0A5C" w:rsidP="0033719F">
            <w:pPr>
              <w:spacing w:after="0"/>
              <w:contextualSpacing/>
              <w:rPr>
                <w:b/>
                <w:bCs/>
                <w:color w:val="FFFFFF" w:themeColor="background1"/>
              </w:rPr>
            </w:pPr>
            <w:r w:rsidRPr="008F0A5C">
              <w:rPr>
                <w:b/>
                <w:bCs/>
                <w:color w:val="FFFFFF" w:themeColor="background1"/>
              </w:rPr>
              <w:t>Gefahrenstoffe</w:t>
            </w:r>
          </w:p>
        </w:tc>
      </w:tr>
      <w:tr w:rsidR="008F0A5C" w:rsidRPr="008F0A5C" w:rsidTr="003371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F0A5C" w:rsidRPr="008F0A5C" w:rsidRDefault="008F0A5C" w:rsidP="0033719F">
            <w:pPr>
              <w:spacing w:after="0" w:line="276" w:lineRule="auto"/>
              <w:contextualSpacing/>
              <w:rPr>
                <w:b/>
                <w:bCs/>
              </w:rPr>
            </w:pPr>
            <w:r w:rsidRPr="008F0A5C">
              <w:t>Natriumchlorid</w:t>
            </w:r>
          </w:p>
        </w:tc>
        <w:tc>
          <w:tcPr>
            <w:tcW w:w="3177" w:type="dxa"/>
            <w:gridSpan w:val="3"/>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F0A5C" w:rsidRPr="008F0A5C" w:rsidRDefault="008F0A5C" w:rsidP="0033719F">
            <w:pPr>
              <w:spacing w:after="0"/>
              <w:contextualSpacing/>
            </w:pPr>
            <w:r w:rsidRPr="008F0A5C">
              <w:t>P: -</w:t>
            </w:r>
          </w:p>
        </w:tc>
      </w:tr>
      <w:tr w:rsidR="008F0A5C" w:rsidRPr="008F0A5C" w:rsidTr="0033719F">
        <w:trPr>
          <w:trHeight w:val="434"/>
        </w:trPr>
        <w:tc>
          <w:tcPr>
            <w:tcW w:w="3027" w:type="dxa"/>
            <w:gridSpan w:val="3"/>
            <w:shd w:val="clear" w:color="auto" w:fill="auto"/>
            <w:vAlign w:val="center"/>
          </w:tcPr>
          <w:p w:rsidR="008F0A5C" w:rsidRPr="008F0A5C" w:rsidRDefault="008F0A5C" w:rsidP="0033719F">
            <w:pPr>
              <w:spacing w:after="0" w:line="276" w:lineRule="auto"/>
              <w:contextualSpacing/>
              <w:rPr>
                <w:bCs/>
              </w:rPr>
            </w:pPr>
            <w:r w:rsidRPr="008F0A5C">
              <w:rPr>
                <w:bCs/>
              </w:rPr>
              <w:t>Zucker</w:t>
            </w:r>
          </w:p>
        </w:tc>
        <w:tc>
          <w:tcPr>
            <w:tcW w:w="3177" w:type="dxa"/>
            <w:gridSpan w:val="3"/>
            <w:shd w:val="clear" w:color="auto" w:fill="auto"/>
            <w:vAlign w:val="center"/>
          </w:tcPr>
          <w:p w:rsidR="008F0A5C" w:rsidRPr="008F0A5C" w:rsidRDefault="008F0A5C" w:rsidP="0033719F">
            <w:pPr>
              <w:pStyle w:val="Beschriftung"/>
              <w:spacing w:after="0"/>
              <w:contextualSpacing/>
              <w:rPr>
                <w:sz w:val="22"/>
                <w:szCs w:val="22"/>
              </w:rPr>
            </w:pPr>
            <w:r w:rsidRPr="008F0A5C">
              <w:rPr>
                <w:sz w:val="22"/>
                <w:szCs w:val="22"/>
              </w:rPr>
              <w:t>H: -</w:t>
            </w:r>
          </w:p>
        </w:tc>
        <w:tc>
          <w:tcPr>
            <w:tcW w:w="3118" w:type="dxa"/>
            <w:gridSpan w:val="3"/>
            <w:shd w:val="clear" w:color="auto" w:fill="auto"/>
            <w:vAlign w:val="center"/>
          </w:tcPr>
          <w:p w:rsidR="008F0A5C" w:rsidRPr="008F0A5C" w:rsidRDefault="008F0A5C" w:rsidP="0033719F">
            <w:pPr>
              <w:pStyle w:val="Beschriftung"/>
              <w:spacing w:after="0"/>
              <w:contextualSpacing/>
              <w:rPr>
                <w:sz w:val="22"/>
                <w:szCs w:val="22"/>
              </w:rPr>
            </w:pPr>
            <w:r w:rsidRPr="008F0A5C">
              <w:rPr>
                <w:sz w:val="22"/>
                <w:szCs w:val="22"/>
              </w:rPr>
              <w:t>P: -</w:t>
            </w:r>
          </w:p>
        </w:tc>
      </w:tr>
      <w:tr w:rsidR="008F0A5C" w:rsidRPr="008F0A5C" w:rsidTr="0033719F">
        <w:tc>
          <w:tcPr>
            <w:tcW w:w="1009" w:type="dxa"/>
            <w:tcBorders>
              <w:top w:val="single" w:sz="8" w:space="0" w:color="4F81BD"/>
              <w:left w:val="single" w:sz="8" w:space="0" w:color="4F81BD"/>
              <w:bottom w:val="single" w:sz="8" w:space="0" w:color="4F81BD"/>
            </w:tcBorders>
            <w:shd w:val="clear" w:color="auto" w:fill="auto"/>
            <w:vAlign w:val="center"/>
          </w:tcPr>
          <w:p w:rsidR="008F0A5C" w:rsidRPr="008F0A5C" w:rsidRDefault="008F0A5C" w:rsidP="0033719F">
            <w:pPr>
              <w:spacing w:after="0"/>
              <w:contextualSpacing/>
              <w:rPr>
                <w:b/>
                <w:bCs/>
              </w:rPr>
            </w:pPr>
            <w:r w:rsidRPr="008F0A5C">
              <w:rPr>
                <w:b/>
                <w:bCs/>
                <w:noProof/>
                <w:lang w:eastAsia="zh-CN"/>
              </w:rPr>
              <w:drawing>
                <wp:inline distT="0" distB="0" distL="0" distR="0" wp14:anchorId="5EAE8909" wp14:editId="68CBF602">
                  <wp:extent cx="540000" cy="540000"/>
                  <wp:effectExtent l="0" t="0" r="0" b="0"/>
                  <wp:docPr id="18" name="Grafik 1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73A99F76" wp14:editId="4D5771EB">
                  <wp:extent cx="540000" cy="540000"/>
                  <wp:effectExtent l="0" t="0" r="0" b="0"/>
                  <wp:docPr id="19" name="Grafik 1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2EBA2E8C" wp14:editId="37987319">
                  <wp:extent cx="540000" cy="540000"/>
                  <wp:effectExtent l="0" t="0" r="0" b="0"/>
                  <wp:docPr id="20" name="Grafik 2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6E844F6F" wp14:editId="64E84EDB">
                  <wp:extent cx="540000" cy="540000"/>
                  <wp:effectExtent l="0" t="0" r="0" b="0"/>
                  <wp:docPr id="21" name="Grafik 2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3F26193A" wp14:editId="33A28E9A">
                  <wp:extent cx="540000" cy="540000"/>
                  <wp:effectExtent l="0" t="0" r="0" b="0"/>
                  <wp:docPr id="26" name="Grafik 26"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7E457D30" wp14:editId="4AE09312">
                  <wp:extent cx="540000" cy="540000"/>
                  <wp:effectExtent l="0" t="0" r="0" b="0"/>
                  <wp:docPr id="27" name="Grafik 27"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24770450" wp14:editId="04ED44B0">
                  <wp:extent cx="540000" cy="540000"/>
                  <wp:effectExtent l="0" t="0" r="0" b="0"/>
                  <wp:docPr id="28" name="Grafik 28"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1D70BC54" wp14:editId="08F59253">
                  <wp:extent cx="540000" cy="540000"/>
                  <wp:effectExtent l="0" t="0" r="0" b="0"/>
                  <wp:docPr id="29" name="Grafik 29"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F0A5C" w:rsidRPr="008F0A5C" w:rsidRDefault="008F0A5C" w:rsidP="0033719F">
            <w:pPr>
              <w:spacing w:after="0"/>
              <w:contextualSpacing/>
            </w:pPr>
            <w:r w:rsidRPr="008F0A5C">
              <w:rPr>
                <w:noProof/>
                <w:lang w:eastAsia="zh-CN"/>
              </w:rPr>
              <w:drawing>
                <wp:inline distT="0" distB="0" distL="0" distR="0" wp14:anchorId="4FFB2948" wp14:editId="716B92A9">
                  <wp:extent cx="540000" cy="540000"/>
                  <wp:effectExtent l="0" t="0" r="0" b="0"/>
                  <wp:docPr id="31" name="Grafik 31"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8F0A5C" w:rsidRPr="008F0A5C" w:rsidRDefault="008F0A5C" w:rsidP="008F0A5C">
      <w:pPr>
        <w:tabs>
          <w:tab w:val="left" w:pos="1701"/>
          <w:tab w:val="left" w:pos="1985"/>
        </w:tabs>
        <w:contextualSpacing/>
      </w:pPr>
    </w:p>
    <w:p w:rsidR="008F0A5C" w:rsidRPr="008F0A5C" w:rsidRDefault="008F0A5C" w:rsidP="008F0A5C">
      <w:pPr>
        <w:ind w:left="1701" w:hanging="1701"/>
        <w:contextualSpacing/>
        <w:rPr>
          <w:b/>
        </w:rPr>
      </w:pPr>
      <w:r w:rsidRPr="008F0A5C">
        <w:rPr>
          <w:b/>
        </w:rPr>
        <w:t>Materialien:</w:t>
      </w:r>
    </w:p>
    <w:p w:rsidR="008F0A5C" w:rsidRPr="008F0A5C" w:rsidRDefault="008F0A5C" w:rsidP="008F0A5C">
      <w:pPr>
        <w:contextualSpacing/>
        <w:rPr>
          <w:rFonts w:cstheme="minorHAnsi"/>
        </w:rPr>
      </w:pPr>
      <w:r w:rsidRPr="008F0A5C">
        <w:rPr>
          <w:rFonts w:cstheme="minorHAnsi"/>
        </w:rPr>
        <w:t>2 x Reagenzgläser, Porzellanschale, Gasbrenner, Reagenzglasklammer</w:t>
      </w:r>
    </w:p>
    <w:p w:rsidR="008F0A5C" w:rsidRPr="008F0A5C" w:rsidRDefault="008F0A5C" w:rsidP="008F0A5C">
      <w:pPr>
        <w:contextualSpacing/>
      </w:pPr>
    </w:p>
    <w:p w:rsidR="008F0A5C" w:rsidRPr="008F0A5C" w:rsidRDefault="008F0A5C" w:rsidP="008F0A5C">
      <w:pPr>
        <w:ind w:left="1701" w:hanging="1701"/>
        <w:contextualSpacing/>
        <w:rPr>
          <w:b/>
        </w:rPr>
      </w:pPr>
      <w:r w:rsidRPr="008F0A5C">
        <w:rPr>
          <w:b/>
        </w:rPr>
        <w:t>Chemikalien:</w:t>
      </w:r>
    </w:p>
    <w:p w:rsidR="008F0A5C" w:rsidRPr="008F0A5C" w:rsidRDefault="008F0A5C" w:rsidP="008F0A5C">
      <w:pPr>
        <w:ind w:left="1701" w:hanging="1701"/>
        <w:contextualSpacing/>
      </w:pPr>
      <w:r w:rsidRPr="008F0A5C">
        <w:t>Haushaltszucker, Kochsalz</w:t>
      </w:r>
    </w:p>
    <w:p w:rsidR="008F0A5C" w:rsidRPr="008F0A5C" w:rsidRDefault="008F0A5C" w:rsidP="008F0A5C">
      <w:pPr>
        <w:ind w:left="1701" w:hanging="1701"/>
        <w:contextualSpacing/>
      </w:pPr>
    </w:p>
    <w:p w:rsidR="008F0A5C" w:rsidRPr="008F0A5C" w:rsidRDefault="008F0A5C" w:rsidP="008F0A5C">
      <w:pPr>
        <w:ind w:left="1701" w:hanging="1701"/>
        <w:contextualSpacing/>
        <w:rPr>
          <w:b/>
          <w:vertAlign w:val="superscript"/>
        </w:rPr>
      </w:pPr>
      <w:r w:rsidRPr="008F0A5C">
        <w:rPr>
          <w:b/>
        </w:rPr>
        <w:t xml:space="preserve">Durchführung: </w:t>
      </w:r>
      <w:r w:rsidRPr="008F0A5C">
        <w:rPr>
          <w:vertAlign w:val="superscript"/>
        </w:rPr>
        <w:t>[1]</w:t>
      </w:r>
    </w:p>
    <w:p w:rsidR="008F0A5C" w:rsidRPr="008F0A5C" w:rsidRDefault="008F0A5C" w:rsidP="008F0A5C">
      <w:pPr>
        <w:contextualSpacing/>
      </w:pPr>
      <w:r w:rsidRPr="008F0A5C">
        <w:t xml:space="preserve">10 g des jeweiligen Reinstoffs werden in eine Porzellanschale gegeben. Die </w:t>
      </w:r>
      <w:proofErr w:type="spellStart"/>
      <w:r w:rsidRPr="008F0A5C">
        <w:t>SuS</w:t>
      </w:r>
      <w:proofErr w:type="spellEnd"/>
      <w:r w:rsidRPr="008F0A5C">
        <w:t xml:space="preserve"> sollen sowohl den Haushaltszucker als auch das Kochsalz auf folgende Eigenschaften untersuchen: Aggrega</w:t>
      </w:r>
      <w:r w:rsidRPr="008F0A5C">
        <w:t>t</w:t>
      </w:r>
      <w:r w:rsidRPr="008F0A5C">
        <w:t>zustand, Geschmack (</w:t>
      </w:r>
      <w:proofErr w:type="spellStart"/>
      <w:r w:rsidRPr="008F0A5C">
        <w:t>SuS</w:t>
      </w:r>
      <w:proofErr w:type="spellEnd"/>
      <w:r w:rsidRPr="008F0A5C">
        <w:t xml:space="preserve"> sollten darauf hingewiesen werden, dass der Geschmack im Rahmen des Chemieunterrichts nicht probiert werden darf, sondern nur auf Basis ihrer Erfahrungen au</w:t>
      </w:r>
      <w:r w:rsidRPr="008F0A5C">
        <w:t>s</w:t>
      </w:r>
      <w:r w:rsidRPr="008F0A5C">
        <w:t>zufüllen ist), Geruch, Farbe, Magnetismus, Brennbarkeit und Löslichkeit in Wasser.</w:t>
      </w:r>
    </w:p>
    <w:p w:rsidR="008F0A5C" w:rsidRPr="008F0A5C" w:rsidRDefault="008F0A5C" w:rsidP="008F0A5C">
      <w:pPr>
        <w:contextualSpacing/>
      </w:pPr>
    </w:p>
    <w:p w:rsidR="008F0A5C" w:rsidRPr="008F0A5C" w:rsidRDefault="008F0A5C" w:rsidP="008F0A5C">
      <w:pPr>
        <w:contextualSpacing/>
      </w:pPr>
    </w:p>
    <w:p w:rsidR="008F0A5C" w:rsidRPr="008F0A5C" w:rsidRDefault="008F0A5C" w:rsidP="008F0A5C">
      <w:pPr>
        <w:contextualSpacing/>
      </w:pPr>
    </w:p>
    <w:p w:rsidR="008F0A5C" w:rsidRPr="008F0A5C" w:rsidRDefault="008F0A5C" w:rsidP="008F0A5C">
      <w:pPr>
        <w:contextualSpacing/>
      </w:pPr>
    </w:p>
    <w:p w:rsidR="008F0A5C" w:rsidRPr="008F0A5C" w:rsidRDefault="008F0A5C" w:rsidP="008F0A5C">
      <w:pPr>
        <w:contextualSpacing/>
      </w:pPr>
    </w:p>
    <w:p w:rsidR="008F0A5C" w:rsidRPr="008F0A5C" w:rsidRDefault="008F0A5C" w:rsidP="008F0A5C">
      <w:pPr>
        <w:contextualSpacing/>
      </w:pPr>
    </w:p>
    <w:p w:rsidR="008F0A5C" w:rsidRPr="008F0A5C" w:rsidRDefault="008F0A5C" w:rsidP="008F0A5C">
      <w:pPr>
        <w:contextualSpacing/>
      </w:pPr>
    </w:p>
    <w:p w:rsidR="008F0A5C" w:rsidRPr="008F0A5C" w:rsidRDefault="008F0A5C" w:rsidP="008F0A5C">
      <w:pPr>
        <w:ind w:left="1701" w:hanging="1701"/>
        <w:contextualSpacing/>
        <w:rPr>
          <w:b/>
        </w:rPr>
      </w:pPr>
      <w:r w:rsidRPr="008F0A5C">
        <w:rPr>
          <w:b/>
        </w:rPr>
        <w:t>Beobachtung:</w:t>
      </w:r>
    </w:p>
    <w:tbl>
      <w:tblPr>
        <w:tblStyle w:val="Gitternetztabelle1hellAkzent41"/>
        <w:tblW w:w="0" w:type="auto"/>
        <w:tblLook w:val="04A0" w:firstRow="1" w:lastRow="0" w:firstColumn="1" w:lastColumn="0" w:noHBand="0" w:noVBand="1"/>
      </w:tblPr>
      <w:tblGrid>
        <w:gridCol w:w="3020"/>
        <w:gridCol w:w="3021"/>
        <w:gridCol w:w="3021"/>
      </w:tblGrid>
      <w:tr w:rsidR="008F0A5C" w:rsidRPr="008F0A5C" w:rsidTr="00337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Eigenschaft</w:t>
            </w:r>
          </w:p>
        </w:tc>
        <w:tc>
          <w:tcPr>
            <w:tcW w:w="3021" w:type="dxa"/>
          </w:tcPr>
          <w:p w:rsidR="008F0A5C" w:rsidRPr="008F0A5C" w:rsidRDefault="008F0A5C" w:rsidP="0033719F">
            <w:pPr>
              <w:contextualSpacing/>
              <w:cnfStyle w:val="100000000000" w:firstRow="1" w:lastRow="0" w:firstColumn="0" w:lastColumn="0" w:oddVBand="0" w:evenVBand="0" w:oddHBand="0" w:evenHBand="0" w:firstRowFirstColumn="0" w:firstRowLastColumn="0" w:lastRowFirstColumn="0" w:lastRowLastColumn="0"/>
            </w:pPr>
            <w:r w:rsidRPr="008F0A5C">
              <w:t>Haushaltszucker</w:t>
            </w:r>
          </w:p>
        </w:tc>
        <w:tc>
          <w:tcPr>
            <w:tcW w:w="3021" w:type="dxa"/>
          </w:tcPr>
          <w:p w:rsidR="008F0A5C" w:rsidRPr="008F0A5C" w:rsidRDefault="008F0A5C" w:rsidP="0033719F">
            <w:pPr>
              <w:contextualSpacing/>
              <w:cnfStyle w:val="100000000000" w:firstRow="1" w:lastRow="0" w:firstColumn="0" w:lastColumn="0" w:oddVBand="0" w:evenVBand="0" w:oddHBand="0" w:evenHBand="0" w:firstRowFirstColumn="0" w:firstRowLastColumn="0" w:lastRowFirstColumn="0" w:lastRowLastColumn="0"/>
            </w:pPr>
            <w:r w:rsidRPr="008F0A5C">
              <w:t>Kochsalz</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Farbe</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weiß</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weiß</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Geruch</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geruchslos</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geruchslos</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rPr>
                <w:vertAlign w:val="superscript"/>
              </w:rPr>
            </w:pPr>
            <w:r w:rsidRPr="008F0A5C">
              <w:t>Geschmack</w:t>
            </w:r>
            <w:r w:rsidRPr="008F0A5C">
              <w:rPr>
                <w:vertAlign w:val="superscript"/>
              </w:rPr>
              <w:t>*</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süß</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salzig</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Aggregatzustand</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fest</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fest</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Magnetismus</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nein</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nein</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Verhalten beim Erhitzen</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Farbveränderung zu braun; schmilzt</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nein</w:t>
            </w:r>
          </w:p>
        </w:tc>
      </w:tr>
      <w:tr w:rsidR="008F0A5C" w:rsidRPr="008F0A5C" w:rsidTr="0033719F">
        <w:tc>
          <w:tcPr>
            <w:cnfStyle w:val="001000000000" w:firstRow="0" w:lastRow="0" w:firstColumn="1" w:lastColumn="0" w:oddVBand="0" w:evenVBand="0" w:oddHBand="0" w:evenHBand="0" w:firstRowFirstColumn="0" w:firstRowLastColumn="0" w:lastRowFirstColumn="0" w:lastRowLastColumn="0"/>
            <w:tcW w:w="3020" w:type="dxa"/>
          </w:tcPr>
          <w:p w:rsidR="008F0A5C" w:rsidRPr="008F0A5C" w:rsidRDefault="008F0A5C" w:rsidP="0033719F">
            <w:pPr>
              <w:contextualSpacing/>
            </w:pPr>
            <w:r w:rsidRPr="008F0A5C">
              <w:t>Löslichkeit in Wasser</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ja</w:t>
            </w:r>
          </w:p>
        </w:tc>
        <w:tc>
          <w:tcPr>
            <w:tcW w:w="3021" w:type="dxa"/>
          </w:tcPr>
          <w:p w:rsidR="008F0A5C" w:rsidRPr="008F0A5C" w:rsidRDefault="008F0A5C" w:rsidP="0033719F">
            <w:pPr>
              <w:contextualSpacing/>
              <w:cnfStyle w:val="000000000000" w:firstRow="0" w:lastRow="0" w:firstColumn="0" w:lastColumn="0" w:oddVBand="0" w:evenVBand="0" w:oddHBand="0" w:evenHBand="0" w:firstRowFirstColumn="0" w:firstRowLastColumn="0" w:lastRowFirstColumn="0" w:lastRowLastColumn="0"/>
            </w:pPr>
            <w:r w:rsidRPr="008F0A5C">
              <w:t>ja</w:t>
            </w:r>
          </w:p>
        </w:tc>
      </w:tr>
    </w:tbl>
    <w:p w:rsidR="008F0A5C" w:rsidRPr="008F0A5C" w:rsidRDefault="008F0A5C" w:rsidP="008F0A5C">
      <w:pPr>
        <w:contextualSpacing/>
        <w:jc w:val="center"/>
      </w:pPr>
    </w:p>
    <w:p w:rsidR="008F0A5C" w:rsidRPr="008F0A5C" w:rsidRDefault="008F0A5C" w:rsidP="008F0A5C">
      <w:pPr>
        <w:contextualSpacing/>
        <w:jc w:val="center"/>
      </w:pPr>
      <w:r w:rsidRPr="008F0A5C">
        <w:rPr>
          <w:noProof/>
          <w:lang w:eastAsia="zh-CN"/>
        </w:rPr>
        <w:drawing>
          <wp:inline distT="0" distB="0" distL="0" distR="0" wp14:anchorId="46E63FA0" wp14:editId="0A23BC10">
            <wp:extent cx="2029829" cy="2891041"/>
            <wp:effectExtent l="0" t="0" r="8890" b="508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1861" cy="2893936"/>
                    </a:xfrm>
                    <a:prstGeom prst="rect">
                      <a:avLst/>
                    </a:prstGeom>
                    <a:noFill/>
                    <a:ln>
                      <a:noFill/>
                    </a:ln>
                  </pic:spPr>
                </pic:pic>
              </a:graphicData>
            </a:graphic>
          </wp:inline>
        </w:drawing>
      </w:r>
    </w:p>
    <w:p w:rsidR="008F0A5C" w:rsidRPr="008F0A5C" w:rsidRDefault="008F0A5C" w:rsidP="008F0A5C">
      <w:pPr>
        <w:contextualSpacing/>
        <w:jc w:val="center"/>
      </w:pPr>
      <w:r w:rsidRPr="008F0A5C">
        <w:t>Abb. 3 –</w:t>
      </w:r>
      <w:r w:rsidRPr="008F0A5C">
        <w:rPr>
          <w:noProof/>
        </w:rPr>
        <w:t xml:space="preserve"> Beim Erhitzen von Haushaltszucker ist eine Veränderung sichtbar, v.a. hinsichtlich der Farbe</w:t>
      </w:r>
    </w:p>
    <w:p w:rsidR="008F0A5C" w:rsidRPr="008F0A5C" w:rsidRDefault="008F0A5C" w:rsidP="008F0A5C">
      <w:pPr>
        <w:pStyle w:val="Beschriftung"/>
        <w:contextualSpacing/>
        <w:rPr>
          <w:noProof/>
          <w:sz w:val="22"/>
          <w:szCs w:val="22"/>
        </w:rPr>
      </w:pPr>
    </w:p>
    <w:p w:rsidR="008F0A5C" w:rsidRPr="008F0A5C" w:rsidRDefault="008F0A5C" w:rsidP="008F0A5C">
      <w:pPr>
        <w:pStyle w:val="Beschriftung"/>
        <w:contextualSpacing/>
        <w:jc w:val="center"/>
        <w:rPr>
          <w:noProof/>
          <w:sz w:val="22"/>
          <w:szCs w:val="22"/>
        </w:rPr>
      </w:pPr>
      <w:r w:rsidRPr="008F0A5C">
        <w:rPr>
          <w:noProof/>
          <w:sz w:val="22"/>
          <w:szCs w:val="22"/>
          <w:lang w:eastAsia="zh-CN"/>
        </w:rPr>
        <w:lastRenderedPageBreak/>
        <w:drawing>
          <wp:inline distT="0" distB="0" distL="0" distR="0" wp14:anchorId="17F26A9C" wp14:editId="49F0B05F">
            <wp:extent cx="2024743" cy="3081949"/>
            <wp:effectExtent l="0" t="0" r="0" b="444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9664" cy="3089439"/>
                    </a:xfrm>
                    <a:prstGeom prst="rect">
                      <a:avLst/>
                    </a:prstGeom>
                    <a:noFill/>
                    <a:ln>
                      <a:noFill/>
                    </a:ln>
                  </pic:spPr>
                </pic:pic>
              </a:graphicData>
            </a:graphic>
          </wp:inline>
        </w:drawing>
      </w:r>
    </w:p>
    <w:p w:rsidR="008F0A5C" w:rsidRPr="008F0A5C" w:rsidRDefault="008F0A5C" w:rsidP="008F0A5C">
      <w:pPr>
        <w:pStyle w:val="Beschriftung"/>
        <w:contextualSpacing/>
        <w:jc w:val="center"/>
        <w:rPr>
          <w:noProof/>
          <w:sz w:val="22"/>
          <w:szCs w:val="22"/>
        </w:rPr>
      </w:pPr>
      <w:r w:rsidRPr="008F0A5C">
        <w:rPr>
          <w:sz w:val="22"/>
          <w:szCs w:val="22"/>
        </w:rPr>
        <w:t>Abb. 4 –</w:t>
      </w:r>
      <w:r w:rsidRPr="008F0A5C">
        <w:rPr>
          <w:noProof/>
          <w:sz w:val="22"/>
          <w:szCs w:val="22"/>
        </w:rPr>
        <w:t xml:space="preserve"> Beim Kochsalz ist keine sichtbare Veränderung wahrzunehmen</w:t>
      </w:r>
    </w:p>
    <w:p w:rsidR="008F0A5C" w:rsidRPr="008F0A5C" w:rsidRDefault="008F0A5C" w:rsidP="008F0A5C"/>
    <w:p w:rsidR="008F0A5C" w:rsidRPr="008F0A5C" w:rsidRDefault="008F0A5C" w:rsidP="008F0A5C">
      <w:pPr>
        <w:contextualSpacing/>
        <w:rPr>
          <w:vertAlign w:val="superscript"/>
        </w:rPr>
      </w:pPr>
      <w:r w:rsidRPr="008F0A5C">
        <w:rPr>
          <w:b/>
        </w:rPr>
        <w:t>Fachwissenschaftliche Deutung:</w:t>
      </w:r>
      <w:r w:rsidRPr="008F0A5C">
        <w:rPr>
          <w:vertAlign w:val="superscript"/>
        </w:rPr>
        <w:t>[2]</w:t>
      </w:r>
    </w:p>
    <w:p w:rsidR="008F0A5C" w:rsidRPr="008F0A5C" w:rsidRDefault="008F0A5C" w:rsidP="008F0A5C">
      <w:pPr>
        <w:spacing w:before="240"/>
        <w:contextualSpacing/>
      </w:pPr>
      <w:r w:rsidRPr="008F0A5C">
        <w:t>Beim Erhitzen des Zuckers (Saccharose) reagiert der Zucker mit dem Umgebungssauerstoff. Der Zucker hat bei ca. 185 °C seinen Schmelzpunkt. Wird also weiter erhitzt, so zersetzt sich der Z</w:t>
      </w:r>
      <w:r w:rsidRPr="008F0A5C">
        <w:t>u</w:t>
      </w:r>
      <w:r w:rsidRPr="008F0A5C">
        <w:t>cker und es kommt zur Bildung einer gelben Schmelze, die auch als Karamell bezeichnet wird. Wird das Karamell weiter erhitzt, so zersetzt sich dieser Stoff zu Kohlendioxid und Wasser. Das Kochsalz (Natriumchlorid) hat einen viel höheren Schmelzpunkt (ca. 1600 °C</w:t>
      </w:r>
      <w:r w:rsidRPr="008F0A5C" w:rsidDel="00FF49AC">
        <w:t xml:space="preserve"> </w:t>
      </w:r>
      <w:r w:rsidRPr="008F0A5C">
        <w:t>), sodass keine Veränderungen wahrnehmbar ist.</w:t>
      </w:r>
    </w:p>
    <w:p w:rsidR="008F0A5C" w:rsidRPr="008F0A5C" w:rsidRDefault="008F0A5C" w:rsidP="008F0A5C">
      <w:pPr>
        <w:spacing w:before="240"/>
        <w:contextualSpacing/>
      </w:pPr>
    </w:p>
    <w:p w:rsidR="008F0A5C" w:rsidRPr="008F0A5C" w:rsidRDefault="008F0A5C" w:rsidP="008F0A5C">
      <w:pPr>
        <w:spacing w:before="240"/>
        <w:contextualSpacing/>
        <w:rPr>
          <w:rFonts w:eastAsiaTheme="minorEastAsia"/>
        </w:rPr>
      </w:pPr>
      <m:oMathPara>
        <m:oMath>
          <m:sSub>
            <m:sSubPr>
              <m:ctrlPr>
                <w:rPr>
                  <w:rFonts w:ascii="Cambria Math" w:hAnsi="Cambria Math"/>
                  <w:i/>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12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12</m:t>
                  </m:r>
                </m:sub>
              </m:sSub>
            </m:e>
            <m:sub>
              <m:r>
                <w:rPr>
                  <w:rFonts w:ascii="Cambria Math" w:hAnsi="Cambria Math"/>
                </w:rPr>
                <m:t>(</m:t>
              </m:r>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12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12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 xml:space="preserve">+12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m:oMathPara>
    </w:p>
    <w:p w:rsidR="008F0A5C" w:rsidRPr="008F0A5C" w:rsidRDefault="008F0A5C" w:rsidP="008F0A5C">
      <w:pPr>
        <w:spacing w:before="240"/>
        <w:contextualSpacing/>
      </w:pPr>
    </w:p>
    <w:p w:rsidR="008F0A5C" w:rsidRPr="008F0A5C" w:rsidRDefault="008F0A5C" w:rsidP="008F0A5C">
      <w:pPr>
        <w:ind w:left="1701" w:hanging="1701"/>
        <w:contextualSpacing/>
        <w:rPr>
          <w:b/>
        </w:rPr>
      </w:pPr>
      <w:r w:rsidRPr="008F0A5C">
        <w:rPr>
          <w:b/>
        </w:rPr>
        <w:t>Didaktisch reduzierte Deutung:</w:t>
      </w:r>
    </w:p>
    <w:p w:rsidR="008F0A5C" w:rsidRPr="008F0A5C" w:rsidRDefault="008F0A5C" w:rsidP="008F0A5C">
      <w:pPr>
        <w:contextualSpacing/>
      </w:pPr>
      <w:r w:rsidRPr="008F0A5C">
        <w:t xml:space="preserve">Obwohl sich Haushaltszucker und Kochsalz in vielen Eigenschaften sehr ähnlich sind gibt es doch spezifische Eigenschaften, mit denen man die Unterschiede hinsichtlich dieser Reinstoffe verdeutlichen kann. Eine dieser Eigenschaften ist das Verhalten beim Erhitzen. Während das Kochsalz beim Erhitzen keine sichtbaren Veränderungen vorweist, schmilzt der Zucker beim Erhitzen und zeigt eine Farbveränderung zu braun auf. </w:t>
      </w:r>
    </w:p>
    <w:p w:rsidR="008F0A5C" w:rsidRPr="008F0A5C" w:rsidRDefault="008F0A5C" w:rsidP="008F0A5C">
      <w:pPr>
        <w:contextualSpacing/>
      </w:pPr>
    </w:p>
    <w:p w:rsidR="008F0A5C" w:rsidRPr="008F0A5C" w:rsidRDefault="008F0A5C" w:rsidP="008F0A5C">
      <w:pPr>
        <w:ind w:left="1701" w:hanging="1701"/>
        <w:contextualSpacing/>
        <w:rPr>
          <w:b/>
        </w:rPr>
      </w:pPr>
      <w:r w:rsidRPr="008F0A5C">
        <w:rPr>
          <w:b/>
        </w:rPr>
        <w:t>Entsorgung:</w:t>
      </w:r>
    </w:p>
    <w:p w:rsidR="008F0A5C" w:rsidRPr="008F0A5C" w:rsidRDefault="008F0A5C" w:rsidP="008F0A5C">
      <w:pPr>
        <w:contextualSpacing/>
      </w:pPr>
      <w:r w:rsidRPr="008F0A5C">
        <w:t>Die verwendeten Haushaltschemikalien können sowohl über den Haushaltsmüll als auch über den Abfluss entsorgt werden.</w:t>
      </w:r>
    </w:p>
    <w:p w:rsidR="008F0A5C" w:rsidRPr="008F0A5C" w:rsidRDefault="008F0A5C" w:rsidP="008F0A5C">
      <w:pPr>
        <w:contextualSpacing/>
      </w:pPr>
    </w:p>
    <w:p w:rsidR="008F0A5C" w:rsidRPr="008F0A5C" w:rsidRDefault="008F0A5C" w:rsidP="008F0A5C">
      <w:pPr>
        <w:contextualSpacing/>
        <w:rPr>
          <w:b/>
          <w:color w:val="auto"/>
        </w:rPr>
      </w:pPr>
      <w:r w:rsidRPr="008F0A5C">
        <w:rPr>
          <w:b/>
          <w:color w:val="auto"/>
        </w:rPr>
        <w:lastRenderedPageBreak/>
        <w:t xml:space="preserve">Unterrichtsanschlüsse: </w:t>
      </w:r>
    </w:p>
    <w:p w:rsidR="008F0A5C" w:rsidRPr="008F0A5C" w:rsidRDefault="008F0A5C" w:rsidP="008F0A5C">
      <w:pPr>
        <w:contextualSpacing/>
        <w:rPr>
          <w:color w:val="auto"/>
        </w:rPr>
      </w:pPr>
      <w:r w:rsidRPr="008F0A5C">
        <w:rPr>
          <w:color w:val="auto"/>
        </w:rPr>
        <w:t xml:space="preserve">Dieser Versuch findet besondere Anwendung in der Einführung des Reinstoffbegriffs, da den </w:t>
      </w:r>
      <w:proofErr w:type="spellStart"/>
      <w:r w:rsidRPr="008F0A5C">
        <w:rPr>
          <w:color w:val="auto"/>
        </w:rPr>
        <w:t>SuS</w:t>
      </w:r>
      <w:proofErr w:type="spellEnd"/>
      <w:r w:rsidRPr="008F0A5C">
        <w:rPr>
          <w:color w:val="auto"/>
        </w:rPr>
        <w:t xml:space="preserve"> unter Zuhilfenahme von Haushaltschemikalien verdeutlicht werden kann, dass Chemie sie in ihrer Umwelt umgibt und das eine Unterscheidung zwischen Reinstoffen und Stoffgemischen notwendig ist. Vorsicht ist jedoch bei der Eigenschaft des Geschmacks geboten, da die </w:t>
      </w:r>
      <w:proofErr w:type="spellStart"/>
      <w:r w:rsidRPr="008F0A5C">
        <w:rPr>
          <w:color w:val="auto"/>
        </w:rPr>
        <w:t>SuS</w:t>
      </w:r>
      <w:proofErr w:type="spellEnd"/>
      <w:r w:rsidRPr="008F0A5C">
        <w:rPr>
          <w:color w:val="auto"/>
        </w:rPr>
        <w:t xml:space="preserve"> au</w:t>
      </w:r>
      <w:r w:rsidRPr="008F0A5C">
        <w:rPr>
          <w:color w:val="auto"/>
        </w:rPr>
        <w:t>s</w:t>
      </w:r>
      <w:r w:rsidRPr="008F0A5C">
        <w:rPr>
          <w:color w:val="auto"/>
        </w:rPr>
        <w:t>drücklich darauf hingewiesen werden müssen, dass das Kochsalz in dem Chemieunterricht nicht probiert werden darf. Es bestünde sonst die Möglichkeit den Geruch als Stoffeigenschaft wegz</w:t>
      </w:r>
      <w:r w:rsidRPr="008F0A5C">
        <w:rPr>
          <w:color w:val="auto"/>
        </w:rPr>
        <w:t>u</w:t>
      </w:r>
      <w:r w:rsidRPr="008F0A5C">
        <w:rPr>
          <w:color w:val="auto"/>
        </w:rPr>
        <w:t>lassen.</w:t>
      </w:r>
    </w:p>
    <w:p w:rsidR="008F0A5C" w:rsidRPr="008F0A5C" w:rsidRDefault="008F0A5C" w:rsidP="008F0A5C">
      <w:pPr>
        <w:contextualSpacing/>
      </w:pPr>
    </w:p>
    <w:p w:rsidR="008F0A5C" w:rsidRPr="008F0A5C" w:rsidRDefault="008F0A5C" w:rsidP="008F0A5C">
      <w:pPr>
        <w:ind w:left="1701" w:hanging="1701"/>
        <w:contextualSpacing/>
        <w:rPr>
          <w:b/>
        </w:rPr>
      </w:pPr>
      <w:r w:rsidRPr="008F0A5C">
        <w:rPr>
          <w:b/>
        </w:rPr>
        <w:t>Literatur:</w:t>
      </w:r>
    </w:p>
    <w:p w:rsidR="008F0A5C" w:rsidRPr="008F0A5C" w:rsidRDefault="008F0A5C" w:rsidP="008F0A5C">
      <w:pPr>
        <w:contextualSpacing/>
      </w:pPr>
      <w:r w:rsidRPr="008F0A5C">
        <w:t xml:space="preserve">[1] H. </w:t>
      </w:r>
      <w:proofErr w:type="spellStart"/>
      <w:r w:rsidRPr="008F0A5C">
        <w:t>Gropengießer</w:t>
      </w:r>
      <w:proofErr w:type="spellEnd"/>
      <w:r w:rsidRPr="008F0A5C">
        <w:t xml:space="preserve">, D. </w:t>
      </w:r>
      <w:proofErr w:type="spellStart"/>
      <w:r w:rsidRPr="008F0A5C">
        <w:t>Höttecke</w:t>
      </w:r>
      <w:proofErr w:type="spellEnd"/>
      <w:r w:rsidRPr="008F0A5C">
        <w:t xml:space="preserve">, </w:t>
      </w:r>
      <w:proofErr w:type="spellStart"/>
      <w:r w:rsidRPr="008F0A5C">
        <w:t>T.Nielsen</w:t>
      </w:r>
      <w:proofErr w:type="spellEnd"/>
      <w:r w:rsidRPr="008F0A5C">
        <w:t xml:space="preserve">, L. </w:t>
      </w:r>
      <w:proofErr w:type="spellStart"/>
      <w:r w:rsidRPr="008F0A5C">
        <w:t>Stäudel</w:t>
      </w:r>
      <w:proofErr w:type="spellEnd"/>
      <w:r w:rsidRPr="008F0A5C">
        <w:t xml:space="preserve">, Mit Aufgaben lernen – Unterricht und Material 5-10, Erhard Friedrich, 1. Auflage, 2006, S. 136 – 138. </w:t>
      </w:r>
    </w:p>
    <w:p w:rsidR="008F0A5C" w:rsidRPr="008F0A5C" w:rsidRDefault="008F0A5C" w:rsidP="008F0A5C">
      <w:pPr>
        <w:contextualSpacing/>
      </w:pPr>
      <w:r w:rsidRPr="008F0A5C">
        <w:t xml:space="preserve">[2] H. </w:t>
      </w:r>
      <w:proofErr w:type="spellStart"/>
      <w:r w:rsidRPr="008F0A5C">
        <w:t>Schackert</w:t>
      </w:r>
      <w:proofErr w:type="spellEnd"/>
      <w:r w:rsidRPr="008F0A5C">
        <w:t>, Erhitzen von Zucker, http://www.hochbegabte-begleiten.de/images/experimente/Tutorium_Berlin-Experiment_50_Erhitzen_von_Zucker.pdf, zuletzt abgerufen am 22.07.2017 um 16:33 Uhr.</w:t>
      </w:r>
    </w:p>
    <w:p w:rsidR="00416073" w:rsidRDefault="00416073"/>
    <w:sectPr w:rsidR="004160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E4"/>
    <w:rsid w:val="00416073"/>
    <w:rsid w:val="008A2CE4"/>
    <w:rsid w:val="008F0A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0A5C"/>
    <w:pPr>
      <w:spacing w:after="200" w:line="360" w:lineRule="auto"/>
      <w:jc w:val="both"/>
    </w:pPr>
    <w:rPr>
      <w:rFonts w:ascii="Cambria" w:eastAsiaTheme="minorHAnsi" w:hAnsi="Cambria"/>
      <w:color w:val="171717" w:themeColor="background2" w:themeShade="1A"/>
      <w:lang w:eastAsia="en-US"/>
    </w:rPr>
  </w:style>
  <w:style w:type="paragraph" w:styleId="berschrift1">
    <w:name w:val="heading 1"/>
    <w:basedOn w:val="Standard"/>
    <w:next w:val="Standard"/>
    <w:link w:val="berschrift1Zchn"/>
    <w:uiPriority w:val="9"/>
    <w:qFormat/>
    <w:rsid w:val="008F0A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F0A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F0A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F0A5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F0A5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F0A5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F0A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0A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0A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0A5C"/>
    <w:rPr>
      <w:rFonts w:asciiTheme="majorHAnsi" w:eastAsiaTheme="majorEastAsia" w:hAnsiTheme="majorHAnsi" w:cstheme="majorBidi"/>
      <w:b/>
      <w:bCs/>
      <w:color w:val="171717" w:themeColor="background2" w:themeShade="1A"/>
      <w:sz w:val="28"/>
      <w:szCs w:val="28"/>
      <w:lang w:eastAsia="en-US"/>
    </w:rPr>
  </w:style>
  <w:style w:type="character" w:customStyle="1" w:styleId="berschrift2Zchn">
    <w:name w:val="Überschrift 2 Zchn"/>
    <w:basedOn w:val="Absatz-Standardschriftart"/>
    <w:link w:val="berschrift2"/>
    <w:uiPriority w:val="9"/>
    <w:rsid w:val="008F0A5C"/>
    <w:rPr>
      <w:rFonts w:asciiTheme="majorHAnsi" w:eastAsiaTheme="majorEastAsia" w:hAnsiTheme="majorHAnsi" w:cstheme="majorBidi"/>
      <w:b/>
      <w:bCs/>
      <w:color w:val="171717" w:themeColor="background2" w:themeShade="1A"/>
      <w:szCs w:val="26"/>
      <w:lang w:eastAsia="en-US"/>
    </w:rPr>
  </w:style>
  <w:style w:type="character" w:customStyle="1" w:styleId="berschrift3Zchn">
    <w:name w:val="Überschrift 3 Zchn"/>
    <w:basedOn w:val="Absatz-Standardschriftart"/>
    <w:link w:val="berschrift3"/>
    <w:uiPriority w:val="9"/>
    <w:rsid w:val="008F0A5C"/>
    <w:rPr>
      <w:rFonts w:asciiTheme="majorHAnsi" w:eastAsiaTheme="majorEastAsia" w:hAnsiTheme="majorHAnsi" w:cstheme="majorBidi"/>
      <w:b/>
      <w:bCs/>
      <w:i/>
      <w:color w:val="171717" w:themeColor="background2" w:themeShade="1A"/>
      <w:lang w:eastAsia="en-US"/>
    </w:rPr>
  </w:style>
  <w:style w:type="character" w:customStyle="1" w:styleId="berschrift4Zchn">
    <w:name w:val="Überschrift 4 Zchn"/>
    <w:basedOn w:val="Absatz-Standardschriftart"/>
    <w:link w:val="berschrift4"/>
    <w:uiPriority w:val="9"/>
    <w:semiHidden/>
    <w:rsid w:val="008F0A5C"/>
    <w:rPr>
      <w:rFonts w:asciiTheme="majorHAnsi" w:eastAsiaTheme="majorEastAsia" w:hAnsiTheme="majorHAnsi" w:cstheme="majorBidi"/>
      <w:b/>
      <w:bCs/>
      <w:i/>
      <w:iCs/>
      <w:color w:val="5B9BD5" w:themeColor="accent1"/>
      <w:lang w:eastAsia="en-US"/>
    </w:rPr>
  </w:style>
  <w:style w:type="character" w:customStyle="1" w:styleId="berschrift5Zchn">
    <w:name w:val="Überschrift 5 Zchn"/>
    <w:basedOn w:val="Absatz-Standardschriftart"/>
    <w:link w:val="berschrift5"/>
    <w:uiPriority w:val="9"/>
    <w:semiHidden/>
    <w:rsid w:val="008F0A5C"/>
    <w:rPr>
      <w:rFonts w:asciiTheme="majorHAnsi" w:eastAsiaTheme="majorEastAsia" w:hAnsiTheme="majorHAnsi" w:cstheme="majorBidi"/>
      <w:color w:val="1F4D78" w:themeColor="accent1" w:themeShade="7F"/>
      <w:lang w:eastAsia="en-US"/>
    </w:rPr>
  </w:style>
  <w:style w:type="character" w:customStyle="1" w:styleId="berschrift6Zchn">
    <w:name w:val="Überschrift 6 Zchn"/>
    <w:basedOn w:val="Absatz-Standardschriftart"/>
    <w:link w:val="berschrift6"/>
    <w:uiPriority w:val="9"/>
    <w:semiHidden/>
    <w:rsid w:val="008F0A5C"/>
    <w:rPr>
      <w:rFonts w:asciiTheme="majorHAnsi" w:eastAsiaTheme="majorEastAsia" w:hAnsiTheme="majorHAnsi" w:cstheme="majorBidi"/>
      <w:i/>
      <w:iCs/>
      <w:color w:val="1F4D78" w:themeColor="accent1" w:themeShade="7F"/>
      <w:lang w:eastAsia="en-US"/>
    </w:rPr>
  </w:style>
  <w:style w:type="character" w:customStyle="1" w:styleId="berschrift7Zchn">
    <w:name w:val="Überschrift 7 Zchn"/>
    <w:basedOn w:val="Absatz-Standardschriftart"/>
    <w:link w:val="berschrift7"/>
    <w:uiPriority w:val="9"/>
    <w:semiHidden/>
    <w:rsid w:val="008F0A5C"/>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8F0A5C"/>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8F0A5C"/>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8F0A5C"/>
    <w:pPr>
      <w:spacing w:line="240" w:lineRule="auto"/>
    </w:pPr>
    <w:rPr>
      <w:bCs/>
      <w:color w:val="auto"/>
      <w:sz w:val="18"/>
      <w:szCs w:val="18"/>
    </w:rPr>
  </w:style>
  <w:style w:type="table" w:customStyle="1" w:styleId="Gitternetztabelle1hellAkzent41">
    <w:name w:val="Gitternetztabelle 1 hell  – Akzent 41"/>
    <w:basedOn w:val="NormaleTabelle"/>
    <w:uiPriority w:val="46"/>
    <w:rsid w:val="008F0A5C"/>
    <w:pPr>
      <w:spacing w:after="0" w:line="240" w:lineRule="auto"/>
      <w:jc w:val="both"/>
    </w:pPr>
    <w:rPr>
      <w:rFonts w:eastAsiaTheme="minorHAnsi"/>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uiPriority w:val="99"/>
    <w:semiHidden/>
    <w:unhideWhenUsed/>
    <w:rsid w:val="008F0A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A5C"/>
    <w:rPr>
      <w:rFonts w:ascii="Tahoma" w:eastAsiaTheme="minorHAnsi" w:hAnsi="Tahoma" w:cs="Tahoma"/>
      <w:color w:val="171717" w:themeColor="background2" w:themeShade="1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0A5C"/>
    <w:pPr>
      <w:spacing w:after="200" w:line="360" w:lineRule="auto"/>
      <w:jc w:val="both"/>
    </w:pPr>
    <w:rPr>
      <w:rFonts w:ascii="Cambria" w:eastAsiaTheme="minorHAnsi" w:hAnsi="Cambria"/>
      <w:color w:val="171717" w:themeColor="background2" w:themeShade="1A"/>
      <w:lang w:eastAsia="en-US"/>
    </w:rPr>
  </w:style>
  <w:style w:type="paragraph" w:styleId="berschrift1">
    <w:name w:val="heading 1"/>
    <w:basedOn w:val="Standard"/>
    <w:next w:val="Standard"/>
    <w:link w:val="berschrift1Zchn"/>
    <w:uiPriority w:val="9"/>
    <w:qFormat/>
    <w:rsid w:val="008F0A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F0A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F0A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F0A5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F0A5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F0A5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F0A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0A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0A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0A5C"/>
    <w:rPr>
      <w:rFonts w:asciiTheme="majorHAnsi" w:eastAsiaTheme="majorEastAsia" w:hAnsiTheme="majorHAnsi" w:cstheme="majorBidi"/>
      <w:b/>
      <w:bCs/>
      <w:color w:val="171717" w:themeColor="background2" w:themeShade="1A"/>
      <w:sz w:val="28"/>
      <w:szCs w:val="28"/>
      <w:lang w:eastAsia="en-US"/>
    </w:rPr>
  </w:style>
  <w:style w:type="character" w:customStyle="1" w:styleId="berschrift2Zchn">
    <w:name w:val="Überschrift 2 Zchn"/>
    <w:basedOn w:val="Absatz-Standardschriftart"/>
    <w:link w:val="berschrift2"/>
    <w:uiPriority w:val="9"/>
    <w:rsid w:val="008F0A5C"/>
    <w:rPr>
      <w:rFonts w:asciiTheme="majorHAnsi" w:eastAsiaTheme="majorEastAsia" w:hAnsiTheme="majorHAnsi" w:cstheme="majorBidi"/>
      <w:b/>
      <w:bCs/>
      <w:color w:val="171717" w:themeColor="background2" w:themeShade="1A"/>
      <w:szCs w:val="26"/>
      <w:lang w:eastAsia="en-US"/>
    </w:rPr>
  </w:style>
  <w:style w:type="character" w:customStyle="1" w:styleId="berschrift3Zchn">
    <w:name w:val="Überschrift 3 Zchn"/>
    <w:basedOn w:val="Absatz-Standardschriftart"/>
    <w:link w:val="berschrift3"/>
    <w:uiPriority w:val="9"/>
    <w:rsid w:val="008F0A5C"/>
    <w:rPr>
      <w:rFonts w:asciiTheme="majorHAnsi" w:eastAsiaTheme="majorEastAsia" w:hAnsiTheme="majorHAnsi" w:cstheme="majorBidi"/>
      <w:b/>
      <w:bCs/>
      <w:i/>
      <w:color w:val="171717" w:themeColor="background2" w:themeShade="1A"/>
      <w:lang w:eastAsia="en-US"/>
    </w:rPr>
  </w:style>
  <w:style w:type="character" w:customStyle="1" w:styleId="berschrift4Zchn">
    <w:name w:val="Überschrift 4 Zchn"/>
    <w:basedOn w:val="Absatz-Standardschriftart"/>
    <w:link w:val="berschrift4"/>
    <w:uiPriority w:val="9"/>
    <w:semiHidden/>
    <w:rsid w:val="008F0A5C"/>
    <w:rPr>
      <w:rFonts w:asciiTheme="majorHAnsi" w:eastAsiaTheme="majorEastAsia" w:hAnsiTheme="majorHAnsi" w:cstheme="majorBidi"/>
      <w:b/>
      <w:bCs/>
      <w:i/>
      <w:iCs/>
      <w:color w:val="5B9BD5" w:themeColor="accent1"/>
      <w:lang w:eastAsia="en-US"/>
    </w:rPr>
  </w:style>
  <w:style w:type="character" w:customStyle="1" w:styleId="berschrift5Zchn">
    <w:name w:val="Überschrift 5 Zchn"/>
    <w:basedOn w:val="Absatz-Standardschriftart"/>
    <w:link w:val="berschrift5"/>
    <w:uiPriority w:val="9"/>
    <w:semiHidden/>
    <w:rsid w:val="008F0A5C"/>
    <w:rPr>
      <w:rFonts w:asciiTheme="majorHAnsi" w:eastAsiaTheme="majorEastAsia" w:hAnsiTheme="majorHAnsi" w:cstheme="majorBidi"/>
      <w:color w:val="1F4D78" w:themeColor="accent1" w:themeShade="7F"/>
      <w:lang w:eastAsia="en-US"/>
    </w:rPr>
  </w:style>
  <w:style w:type="character" w:customStyle="1" w:styleId="berschrift6Zchn">
    <w:name w:val="Überschrift 6 Zchn"/>
    <w:basedOn w:val="Absatz-Standardschriftart"/>
    <w:link w:val="berschrift6"/>
    <w:uiPriority w:val="9"/>
    <w:semiHidden/>
    <w:rsid w:val="008F0A5C"/>
    <w:rPr>
      <w:rFonts w:asciiTheme="majorHAnsi" w:eastAsiaTheme="majorEastAsia" w:hAnsiTheme="majorHAnsi" w:cstheme="majorBidi"/>
      <w:i/>
      <w:iCs/>
      <w:color w:val="1F4D78" w:themeColor="accent1" w:themeShade="7F"/>
      <w:lang w:eastAsia="en-US"/>
    </w:rPr>
  </w:style>
  <w:style w:type="character" w:customStyle="1" w:styleId="berschrift7Zchn">
    <w:name w:val="Überschrift 7 Zchn"/>
    <w:basedOn w:val="Absatz-Standardschriftart"/>
    <w:link w:val="berschrift7"/>
    <w:uiPriority w:val="9"/>
    <w:semiHidden/>
    <w:rsid w:val="008F0A5C"/>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8F0A5C"/>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8F0A5C"/>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8F0A5C"/>
    <w:pPr>
      <w:spacing w:line="240" w:lineRule="auto"/>
    </w:pPr>
    <w:rPr>
      <w:bCs/>
      <w:color w:val="auto"/>
      <w:sz w:val="18"/>
      <w:szCs w:val="18"/>
    </w:rPr>
  </w:style>
  <w:style w:type="table" w:customStyle="1" w:styleId="Gitternetztabelle1hellAkzent41">
    <w:name w:val="Gitternetztabelle 1 hell  – Akzent 41"/>
    <w:basedOn w:val="NormaleTabelle"/>
    <w:uiPriority w:val="46"/>
    <w:rsid w:val="008F0A5C"/>
    <w:pPr>
      <w:spacing w:after="0" w:line="240" w:lineRule="auto"/>
      <w:jc w:val="both"/>
    </w:pPr>
    <w:rPr>
      <w:rFonts w:eastAsiaTheme="minorHAnsi"/>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uiPriority w:val="99"/>
    <w:semiHidden/>
    <w:unhideWhenUsed/>
    <w:rsid w:val="008F0A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A5C"/>
    <w:rPr>
      <w:rFonts w:ascii="Tahoma" w:eastAsiaTheme="minorHAnsi" w:hAnsi="Tahoma" w:cs="Tahoma"/>
      <w:color w:val="171717" w:themeColor="background2" w:themeShade="1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microsoft.com/office/2007/relationships/hdphoto" Target="media/hdphoto4.wdp"/><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1D205601.dotm</Template>
  <TotalTime>0</TotalTime>
  <Pages>4</Pages>
  <Words>552</Words>
  <Characters>3480</Characters>
  <Application>Microsoft Office Word</Application>
  <DocSecurity>0</DocSecurity>
  <Lines>29</Lines>
  <Paragraphs>8</Paragraphs>
  <ScaleCrop>false</ScaleCrop>
  <Company>Universität Göttingen</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Habibe</dc:creator>
  <cp:keywords/>
  <dc:description/>
  <cp:lastModifiedBy>Krasniqi, Habibe</cp:lastModifiedBy>
  <cp:revision>2</cp:revision>
  <dcterms:created xsi:type="dcterms:W3CDTF">2017-09-29T08:46:00Z</dcterms:created>
  <dcterms:modified xsi:type="dcterms:W3CDTF">2017-09-29T08:47:00Z</dcterms:modified>
</cp:coreProperties>
</file>