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E2" w:rsidRPr="001934E2" w:rsidRDefault="001934E2" w:rsidP="001934E2">
      <w:pPr>
        <w:pStyle w:val="berschrift2"/>
        <w:contextualSpacing/>
        <w:rPr>
          <w:rFonts w:ascii="Cambria" w:hAnsi="Cambria"/>
          <w:color w:val="auto"/>
          <w:szCs w:val="22"/>
        </w:rPr>
      </w:pPr>
      <w:bookmarkStart w:id="0" w:name="_Toc489006754"/>
      <w:r w:rsidRPr="001934E2">
        <w:rPr>
          <w:rFonts w:ascii="Cambria" w:hAnsi="Cambria"/>
          <w:color w:val="auto"/>
          <w:szCs w:val="22"/>
        </w:rPr>
        <w:t>V3 – Chromatographie der „</w:t>
      </w:r>
      <w:proofErr w:type="spellStart"/>
      <w:r w:rsidRPr="001934E2">
        <w:rPr>
          <w:rFonts w:ascii="Cambria" w:hAnsi="Cambria"/>
          <w:color w:val="auto"/>
          <w:szCs w:val="22"/>
        </w:rPr>
        <w:t>Smartiefarbstoffe</w:t>
      </w:r>
      <w:proofErr w:type="spellEnd"/>
      <w:r w:rsidRPr="001934E2">
        <w:rPr>
          <w:rFonts w:ascii="Cambria" w:hAnsi="Cambria"/>
          <w:color w:val="auto"/>
          <w:szCs w:val="22"/>
        </w:rPr>
        <w:t>“</w:t>
      </w:r>
      <w:bookmarkEnd w:id="0"/>
    </w:p>
    <w:p w:rsidR="001934E2" w:rsidRPr="001934E2" w:rsidRDefault="001934E2" w:rsidP="001934E2">
      <w:pPr>
        <w:rPr>
          <w:i/>
          <w:color w:val="auto"/>
        </w:rPr>
      </w:pPr>
      <w:r w:rsidRPr="001934E2">
        <w:rPr>
          <w:i/>
          <w:color w:val="auto"/>
        </w:rPr>
        <w:t xml:space="preserve">Dieser Versuch erlaubt den </w:t>
      </w:r>
      <w:proofErr w:type="spellStart"/>
      <w:r w:rsidRPr="001934E2">
        <w:rPr>
          <w:i/>
          <w:color w:val="auto"/>
        </w:rPr>
        <w:t>SuS</w:t>
      </w:r>
      <w:proofErr w:type="spellEnd"/>
      <w:r w:rsidRPr="001934E2">
        <w:rPr>
          <w:i/>
          <w:color w:val="auto"/>
        </w:rPr>
        <w:t xml:space="preserve"> sich mit dem Prinzip der Chromatographie vertraut zu machen. Um einen möglichst hohen Alltagsbezug zu schaffen und gleichzeitig die Brücke zu dem „wissenschaf</w:t>
      </w:r>
      <w:r w:rsidRPr="001934E2">
        <w:rPr>
          <w:i/>
          <w:color w:val="auto"/>
        </w:rPr>
        <w:t>t</w:t>
      </w:r>
      <w:r w:rsidRPr="001934E2">
        <w:rPr>
          <w:i/>
          <w:color w:val="auto"/>
        </w:rPr>
        <w:t xml:space="preserve">lichen Arbeiten“ zu schlagen, werden die Farbstoffe der </w:t>
      </w:r>
      <w:proofErr w:type="spellStart"/>
      <w:r w:rsidRPr="001934E2">
        <w:rPr>
          <w:i/>
          <w:color w:val="auto"/>
        </w:rPr>
        <w:t>Smarties</w:t>
      </w:r>
      <w:proofErr w:type="spellEnd"/>
      <w:r w:rsidRPr="001934E2">
        <w:rPr>
          <w:i/>
          <w:color w:val="auto"/>
        </w:rPr>
        <w:t xml:space="preserve"> lösen und diese auf </w:t>
      </w:r>
      <w:proofErr w:type="spellStart"/>
      <w:r w:rsidRPr="001934E2">
        <w:rPr>
          <w:i/>
          <w:color w:val="auto"/>
        </w:rPr>
        <w:t>Chromatogr</w:t>
      </w:r>
      <w:r w:rsidRPr="001934E2">
        <w:rPr>
          <w:i/>
          <w:color w:val="auto"/>
        </w:rPr>
        <w:t>a</w:t>
      </w:r>
      <w:bookmarkStart w:id="1" w:name="_GoBack"/>
      <w:bookmarkEnd w:id="1"/>
      <w:r w:rsidRPr="001934E2">
        <w:rPr>
          <w:i/>
          <w:color w:val="auto"/>
        </w:rPr>
        <w:t>phiepapier</w:t>
      </w:r>
      <w:proofErr w:type="spellEnd"/>
      <w:r w:rsidRPr="001934E2">
        <w:rPr>
          <w:i/>
          <w:color w:val="auto"/>
        </w:rPr>
        <w:t xml:space="preserve"> geben. Die </w:t>
      </w:r>
      <w:proofErr w:type="spellStart"/>
      <w:r w:rsidRPr="001934E2">
        <w:rPr>
          <w:i/>
          <w:color w:val="auto"/>
        </w:rPr>
        <w:t>SuS</w:t>
      </w:r>
      <w:proofErr w:type="spellEnd"/>
      <w:r w:rsidRPr="001934E2">
        <w:rPr>
          <w:i/>
          <w:color w:val="auto"/>
        </w:rPr>
        <w:t xml:space="preserve"> sollten Kenntnisse zur Löslichkeit verschiedener Stoffe haben und die Begriffe Reinstoffe und Stoffgemische beschreiben können.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934E2" w:rsidRPr="001934E2" w:rsidTr="0033719F">
        <w:tc>
          <w:tcPr>
            <w:tcW w:w="9322" w:type="dxa"/>
            <w:gridSpan w:val="9"/>
            <w:shd w:val="clear" w:color="auto" w:fill="4F81BD"/>
            <w:vAlign w:val="center"/>
          </w:tcPr>
          <w:p w:rsidR="001934E2" w:rsidRPr="001934E2" w:rsidRDefault="001934E2" w:rsidP="0033719F">
            <w:pPr>
              <w:spacing w:after="0"/>
              <w:contextualSpacing/>
              <w:rPr>
                <w:b/>
                <w:bCs/>
                <w:color w:val="FFFFFF" w:themeColor="background1"/>
              </w:rPr>
            </w:pPr>
            <w:r w:rsidRPr="001934E2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934E2" w:rsidRPr="001934E2" w:rsidTr="0033719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 w:line="276" w:lineRule="auto"/>
              <w:contextualSpacing/>
              <w:rPr>
                <w:b/>
                <w:bCs/>
              </w:rPr>
            </w:pPr>
            <w:r w:rsidRPr="001934E2"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t>P: -</w:t>
            </w:r>
          </w:p>
        </w:tc>
      </w:tr>
      <w:tr w:rsidR="001934E2" w:rsidRPr="001934E2" w:rsidTr="0033719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 w:line="276" w:lineRule="auto"/>
              <w:contextualSpacing/>
              <w:rPr>
                <w:bCs/>
              </w:rPr>
            </w:pPr>
            <w:r w:rsidRPr="001934E2">
              <w:rPr>
                <w:bCs/>
              </w:rPr>
              <w:t>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1934E2" w:rsidRPr="001934E2" w:rsidRDefault="001934E2" w:rsidP="0033719F">
            <w:pPr>
              <w:pStyle w:val="Beschriftung"/>
              <w:spacing w:after="0"/>
              <w:contextualSpacing/>
              <w:rPr>
                <w:sz w:val="22"/>
                <w:szCs w:val="22"/>
              </w:rPr>
            </w:pPr>
            <w:r w:rsidRPr="001934E2"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934E2" w:rsidRPr="001934E2" w:rsidRDefault="001934E2" w:rsidP="0033719F">
            <w:pPr>
              <w:pStyle w:val="Beschriftung"/>
              <w:spacing w:after="0"/>
              <w:contextualSpacing/>
              <w:rPr>
                <w:sz w:val="22"/>
                <w:szCs w:val="22"/>
              </w:rPr>
            </w:pPr>
            <w:r w:rsidRPr="001934E2">
              <w:rPr>
                <w:sz w:val="22"/>
                <w:szCs w:val="22"/>
              </w:rPr>
              <w:t>P: -</w:t>
            </w:r>
          </w:p>
        </w:tc>
      </w:tr>
      <w:tr w:rsidR="001934E2" w:rsidRPr="001934E2" w:rsidTr="0033719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  <w:rPr>
                <w:b/>
                <w:bCs/>
              </w:rPr>
            </w:pPr>
            <w:r w:rsidRPr="001934E2">
              <w:rPr>
                <w:b/>
                <w:bCs/>
                <w:noProof/>
                <w:lang w:eastAsia="zh-CN"/>
              </w:rPr>
              <w:drawing>
                <wp:inline distT="0" distB="0" distL="0" distR="0" wp14:anchorId="1FEBDA95" wp14:editId="362D53C2">
                  <wp:extent cx="540000" cy="540000"/>
                  <wp:effectExtent l="0" t="0" r="0" b="0"/>
                  <wp:docPr id="33" name="Grafik 33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03F30ADA" wp14:editId="1DF40AB7">
                  <wp:extent cx="540000" cy="540000"/>
                  <wp:effectExtent l="0" t="0" r="0" b="0"/>
                  <wp:docPr id="35" name="Grafik 35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364BC6D4" wp14:editId="14177D46">
                  <wp:extent cx="540000" cy="540000"/>
                  <wp:effectExtent l="0" t="0" r="0" b="0"/>
                  <wp:docPr id="37" name="Grafik 37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642D9A21" wp14:editId="447ECA91">
                  <wp:extent cx="540000" cy="540000"/>
                  <wp:effectExtent l="0" t="0" r="0" b="0"/>
                  <wp:docPr id="38" name="Grafik 38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4F2DE9B4" wp14:editId="2F6B6DBE">
                  <wp:extent cx="540000" cy="540000"/>
                  <wp:effectExtent l="0" t="0" r="0" b="0"/>
                  <wp:docPr id="39" name="Grafik 39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475DD336" wp14:editId="757C9981">
                  <wp:extent cx="540000" cy="540000"/>
                  <wp:effectExtent l="0" t="0" r="0" b="0"/>
                  <wp:docPr id="40" name="Grafik 40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4819D05D" wp14:editId="215B6C35">
                  <wp:extent cx="540000" cy="540000"/>
                  <wp:effectExtent l="0" t="0" r="0" b="0"/>
                  <wp:docPr id="41" name="Grafik 41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4B5300B9" wp14:editId="4A4FA062">
                  <wp:extent cx="540000" cy="540000"/>
                  <wp:effectExtent l="0" t="0" r="0" b="0"/>
                  <wp:docPr id="42" name="Grafik 42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34E2" w:rsidRPr="001934E2" w:rsidRDefault="001934E2" w:rsidP="0033719F">
            <w:pPr>
              <w:spacing w:after="0"/>
              <w:contextualSpacing/>
            </w:pPr>
            <w:r w:rsidRPr="001934E2">
              <w:rPr>
                <w:noProof/>
                <w:lang w:eastAsia="zh-CN"/>
              </w:rPr>
              <w:drawing>
                <wp:inline distT="0" distB="0" distL="0" distR="0" wp14:anchorId="6BC8AE02" wp14:editId="0CC87DD6">
                  <wp:extent cx="540000" cy="540000"/>
                  <wp:effectExtent l="0" t="0" r="0" b="0"/>
                  <wp:docPr id="43" name="Grafik 43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4E2" w:rsidRPr="001934E2" w:rsidRDefault="001934E2" w:rsidP="001934E2">
      <w:pPr>
        <w:ind w:left="1701" w:hanging="1701"/>
        <w:contextualSpacing/>
        <w:rPr>
          <w:b/>
        </w:rPr>
      </w:pPr>
    </w:p>
    <w:p w:rsidR="001934E2" w:rsidRPr="001934E2" w:rsidRDefault="001934E2" w:rsidP="001934E2">
      <w:pPr>
        <w:ind w:left="1701" w:hanging="1701"/>
        <w:contextualSpacing/>
        <w:rPr>
          <w:b/>
        </w:rPr>
      </w:pPr>
      <w:r w:rsidRPr="001934E2">
        <w:rPr>
          <w:b/>
        </w:rPr>
        <w:t>Materialien:</w:t>
      </w:r>
    </w:p>
    <w:p w:rsidR="001934E2" w:rsidRPr="001934E2" w:rsidRDefault="001934E2" w:rsidP="001934E2">
      <w:pPr>
        <w:contextualSpacing/>
        <w:rPr>
          <w:rFonts w:cstheme="minorHAnsi"/>
        </w:rPr>
      </w:pPr>
      <w:r w:rsidRPr="001934E2">
        <w:rPr>
          <w:rFonts w:cstheme="minorHAnsi"/>
        </w:rPr>
        <w:t xml:space="preserve">4–6 Schnappdeckelgläser (alternativ auch kleine Bechergläser), Messzylinder (10 </w:t>
      </w:r>
      <w:proofErr w:type="spellStart"/>
      <w:r w:rsidRPr="001934E2">
        <w:rPr>
          <w:rFonts w:cstheme="minorHAnsi"/>
        </w:rPr>
        <w:t>mL</w:t>
      </w:r>
      <w:proofErr w:type="spellEnd"/>
      <w:r w:rsidRPr="001934E2">
        <w:rPr>
          <w:rFonts w:cstheme="minorHAnsi"/>
        </w:rPr>
        <w:t xml:space="preserve">), </w:t>
      </w:r>
      <w:proofErr w:type="spellStart"/>
      <w:r w:rsidRPr="001934E2">
        <w:rPr>
          <w:rFonts w:cstheme="minorHAnsi"/>
        </w:rPr>
        <w:t>Chrom</w:t>
      </w:r>
      <w:r w:rsidRPr="001934E2">
        <w:rPr>
          <w:rFonts w:cstheme="minorHAnsi"/>
        </w:rPr>
        <w:t>a</w:t>
      </w:r>
      <w:r w:rsidRPr="001934E2">
        <w:rPr>
          <w:rFonts w:cstheme="minorHAnsi"/>
        </w:rPr>
        <w:t>tographiepapier</w:t>
      </w:r>
      <w:proofErr w:type="spellEnd"/>
      <w:r w:rsidRPr="001934E2">
        <w:rPr>
          <w:rFonts w:cstheme="minorHAnsi"/>
        </w:rPr>
        <w:t xml:space="preserve">, </w:t>
      </w:r>
      <w:proofErr w:type="spellStart"/>
      <w:r w:rsidRPr="001934E2">
        <w:rPr>
          <w:rFonts w:cstheme="minorHAnsi"/>
        </w:rPr>
        <w:t>Pasteurpipetten</w:t>
      </w:r>
      <w:proofErr w:type="spellEnd"/>
    </w:p>
    <w:p w:rsidR="001934E2" w:rsidRPr="001934E2" w:rsidRDefault="001934E2" w:rsidP="001934E2">
      <w:pPr>
        <w:contextualSpacing/>
      </w:pPr>
    </w:p>
    <w:p w:rsidR="001934E2" w:rsidRPr="001934E2" w:rsidRDefault="001934E2" w:rsidP="001934E2">
      <w:pPr>
        <w:ind w:left="1701" w:hanging="1701"/>
        <w:contextualSpacing/>
        <w:rPr>
          <w:b/>
        </w:rPr>
      </w:pPr>
      <w:r w:rsidRPr="001934E2">
        <w:rPr>
          <w:b/>
        </w:rPr>
        <w:t>Chemikalien:</w:t>
      </w:r>
    </w:p>
    <w:p w:rsidR="001934E2" w:rsidRPr="001934E2" w:rsidRDefault="001934E2" w:rsidP="001934E2">
      <w:pPr>
        <w:ind w:left="1701" w:hanging="1701"/>
        <w:contextualSpacing/>
      </w:pPr>
      <w:proofErr w:type="spellStart"/>
      <w:r w:rsidRPr="001934E2">
        <w:t>Natriumchloridlösung</w:t>
      </w:r>
      <w:proofErr w:type="spellEnd"/>
      <w:r w:rsidRPr="001934E2">
        <w:t xml:space="preserve">, bunte </w:t>
      </w:r>
      <w:proofErr w:type="spellStart"/>
      <w:r w:rsidRPr="001934E2">
        <w:t>Smarties</w:t>
      </w:r>
      <w:proofErr w:type="spellEnd"/>
      <w:r w:rsidRPr="001934E2">
        <w:t xml:space="preserve"> (Schokolinsen), Wasser</w:t>
      </w:r>
    </w:p>
    <w:p w:rsidR="001934E2" w:rsidRPr="001934E2" w:rsidRDefault="001934E2" w:rsidP="001934E2">
      <w:pPr>
        <w:contextualSpacing/>
      </w:pPr>
    </w:p>
    <w:p w:rsidR="001934E2" w:rsidRPr="001934E2" w:rsidRDefault="001934E2" w:rsidP="001934E2">
      <w:pPr>
        <w:ind w:left="1701" w:hanging="1701"/>
        <w:contextualSpacing/>
        <w:rPr>
          <w:b/>
        </w:rPr>
      </w:pPr>
      <w:r w:rsidRPr="001934E2">
        <w:rPr>
          <w:b/>
        </w:rPr>
        <w:t>Durchführung:</w:t>
      </w:r>
    </w:p>
    <w:p w:rsidR="001934E2" w:rsidRPr="001934E2" w:rsidRDefault="001934E2" w:rsidP="001934E2">
      <w:pPr>
        <w:contextualSpacing/>
      </w:pPr>
      <w:r w:rsidRPr="001934E2">
        <w:t xml:space="preserve">Um den Farbstoff der </w:t>
      </w:r>
      <w:proofErr w:type="spellStart"/>
      <w:r w:rsidRPr="001934E2">
        <w:t>Smarties</w:t>
      </w:r>
      <w:proofErr w:type="spellEnd"/>
      <w:r w:rsidRPr="001934E2">
        <w:t xml:space="preserve"> zu erhalten werden zunächst die Schalen von 6-7 gleichfarbige </w:t>
      </w:r>
      <w:proofErr w:type="spellStart"/>
      <w:r w:rsidRPr="001934E2">
        <w:t>Smarties</w:t>
      </w:r>
      <w:proofErr w:type="spellEnd"/>
      <w:r w:rsidRPr="001934E2">
        <w:t xml:space="preserve"> in 1-2 </w:t>
      </w:r>
      <w:proofErr w:type="spellStart"/>
      <w:r w:rsidRPr="001934E2">
        <w:t>mL</w:t>
      </w:r>
      <w:proofErr w:type="spellEnd"/>
      <w:r w:rsidRPr="001934E2">
        <w:t xml:space="preserve"> Wasser eingelegt, bis sich der Farbstoff dieser löst. Danach werden die </w:t>
      </w:r>
      <w:proofErr w:type="spellStart"/>
      <w:r w:rsidRPr="001934E2">
        <w:t>Sma</w:t>
      </w:r>
      <w:r w:rsidRPr="001934E2">
        <w:t>r</w:t>
      </w:r>
      <w:r w:rsidRPr="001934E2">
        <w:t>ties</w:t>
      </w:r>
      <w:proofErr w:type="spellEnd"/>
      <w:r w:rsidRPr="001934E2">
        <w:t xml:space="preserve"> wieder aus der Lösung entfernt. Es können hierbei, neben rot und blau noch zwei weitere </w:t>
      </w:r>
      <w:proofErr w:type="spellStart"/>
      <w:r w:rsidRPr="001934E2">
        <w:t>Smartiefarben</w:t>
      </w:r>
      <w:proofErr w:type="spellEnd"/>
      <w:r w:rsidRPr="001934E2">
        <w:t xml:space="preserve"> gewählt werden. In die </w:t>
      </w:r>
      <w:proofErr w:type="spellStart"/>
      <w:r w:rsidRPr="001934E2">
        <w:t>Chromatographiekammer</w:t>
      </w:r>
      <w:proofErr w:type="spellEnd"/>
      <w:r w:rsidRPr="001934E2">
        <w:t xml:space="preserve"> wird 0,5–1 cm hoch das Flie</w:t>
      </w:r>
      <w:r w:rsidRPr="001934E2">
        <w:t>ß</w:t>
      </w:r>
      <w:r w:rsidRPr="001934E2">
        <w:t>mittel (</w:t>
      </w:r>
      <w:proofErr w:type="spellStart"/>
      <w:r w:rsidRPr="001934E2">
        <w:t>Natriumchloridlösung</w:t>
      </w:r>
      <w:proofErr w:type="spellEnd"/>
      <w:r w:rsidRPr="001934E2">
        <w:t xml:space="preserve">) hinzugegeben. Das </w:t>
      </w:r>
      <w:proofErr w:type="spellStart"/>
      <w:r w:rsidRPr="001934E2">
        <w:t>Chromatographiepapier</w:t>
      </w:r>
      <w:proofErr w:type="spellEnd"/>
      <w:r w:rsidRPr="001934E2">
        <w:t xml:space="preserve"> wird vorbereitet, indem mit Bleistift ca. 2 cm vom Rand an der kurzen Seite des Papiers eine parallele Linie gez</w:t>
      </w:r>
      <w:r w:rsidRPr="001934E2">
        <w:t>o</w:t>
      </w:r>
      <w:r w:rsidRPr="001934E2">
        <w:t xml:space="preserve">gen wird. In gleichmäßigen Abständen werden auf dieser Linie vier Punkte markiert. Mithilfe der Spitze der </w:t>
      </w:r>
      <w:proofErr w:type="spellStart"/>
      <w:r w:rsidRPr="001934E2">
        <w:t>Pasteurpipette</w:t>
      </w:r>
      <w:proofErr w:type="spellEnd"/>
      <w:r w:rsidRPr="001934E2">
        <w:t xml:space="preserve"> wird etwas Farbstofflösung aufgenommen und auf die Marki</w:t>
      </w:r>
      <w:r w:rsidRPr="001934E2">
        <w:t>e</w:t>
      </w:r>
      <w:r w:rsidRPr="001934E2">
        <w:t xml:space="preserve">rungspunkte aufgetragen. Danach werden die Farbflecke mit einem Föhn getrocknet, wobei dies bis zu 4 Mal wiederholt werden kann, um eine höhere Farbmenge zu erzielen. Das </w:t>
      </w:r>
      <w:proofErr w:type="spellStart"/>
      <w:r w:rsidRPr="001934E2">
        <w:t>Chromot</w:t>
      </w:r>
      <w:r w:rsidRPr="001934E2">
        <w:t>o</w:t>
      </w:r>
      <w:r w:rsidRPr="001934E2">
        <w:t>graphiepapier</w:t>
      </w:r>
      <w:proofErr w:type="spellEnd"/>
      <w:r w:rsidRPr="001934E2">
        <w:t xml:space="preserve"> wird anschließend in die </w:t>
      </w:r>
      <w:proofErr w:type="spellStart"/>
      <w:r w:rsidRPr="001934E2">
        <w:t>Chromatographiekammer</w:t>
      </w:r>
      <w:proofErr w:type="spellEnd"/>
      <w:r w:rsidRPr="001934E2">
        <w:t xml:space="preserve"> gestellt. Wenn das Laufmittel bis </w:t>
      </w:r>
      <w:proofErr w:type="spellStart"/>
      <w:r w:rsidRPr="001934E2">
        <w:t>ca</w:t>
      </w:r>
      <w:proofErr w:type="spellEnd"/>
      <w:r w:rsidRPr="001934E2">
        <w:t xml:space="preserve"> 1 cm unter dem oberen Rand gelaufen ist, wird das </w:t>
      </w:r>
      <w:proofErr w:type="spellStart"/>
      <w:r w:rsidRPr="001934E2">
        <w:t>Chromatographiepapier</w:t>
      </w:r>
      <w:proofErr w:type="spellEnd"/>
      <w:r w:rsidRPr="001934E2">
        <w:t xml:space="preserve"> entfernt. Di</w:t>
      </w:r>
      <w:r w:rsidRPr="001934E2">
        <w:t>e</w:t>
      </w:r>
      <w:r w:rsidRPr="001934E2">
        <w:t xml:space="preserve">ser Vorgang dauert ca. 30 Minuten. Danach wird das </w:t>
      </w:r>
      <w:proofErr w:type="spellStart"/>
      <w:r w:rsidRPr="001934E2">
        <w:t>Chromatographiepapier</w:t>
      </w:r>
      <w:proofErr w:type="spellEnd"/>
      <w:r w:rsidRPr="001934E2">
        <w:t xml:space="preserve"> auf kleinster Stufe mit einem Föhn für ca. 30 Sekunden getrocknet.</w:t>
      </w:r>
    </w:p>
    <w:p w:rsidR="001934E2" w:rsidRPr="001934E2" w:rsidRDefault="001934E2" w:rsidP="001934E2">
      <w:pPr>
        <w:contextualSpacing/>
      </w:pPr>
    </w:p>
    <w:p w:rsidR="001934E2" w:rsidRPr="001934E2" w:rsidRDefault="001934E2" w:rsidP="001934E2">
      <w:pPr>
        <w:contextualSpacing/>
        <w:jc w:val="center"/>
      </w:pPr>
      <w:r w:rsidRPr="001934E2">
        <w:rPr>
          <w:noProof/>
          <w:lang w:eastAsia="zh-CN"/>
        </w:rPr>
        <w:drawing>
          <wp:inline distT="0" distB="0" distL="0" distR="0" wp14:anchorId="02903F02" wp14:editId="72CDCF0B">
            <wp:extent cx="2207941" cy="2942287"/>
            <wp:effectExtent l="0" t="0" r="1905" b="0"/>
            <wp:docPr id="3" name="Grafik 3" descr="C:\Users\Benja\AppData\Local\Microsoft\Windows\INetCache\Content.Word\20245597_1935619280053563_3936672159894701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\AppData\Local\Microsoft\Windows\INetCache\Content.Word\20245597_1935619280053563_3936672159894701680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69" cy="29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E2" w:rsidRPr="001934E2" w:rsidRDefault="001934E2" w:rsidP="001934E2">
      <w:pPr>
        <w:contextualSpacing/>
        <w:jc w:val="center"/>
        <w:rPr>
          <w:noProof/>
        </w:rPr>
      </w:pPr>
      <w:r w:rsidRPr="001934E2">
        <w:t>Abb. 5 –</w:t>
      </w:r>
      <w:r w:rsidRPr="001934E2">
        <w:rPr>
          <w:noProof/>
        </w:rPr>
        <w:t xml:space="preserve"> Chromatographiekammer mit dem Chromatographiepapier</w:t>
      </w:r>
    </w:p>
    <w:p w:rsidR="001934E2" w:rsidRPr="001934E2" w:rsidRDefault="001934E2" w:rsidP="001934E2">
      <w:pPr>
        <w:contextualSpacing/>
        <w:jc w:val="center"/>
        <w:rPr>
          <w:noProof/>
        </w:rPr>
      </w:pPr>
    </w:p>
    <w:p w:rsidR="001934E2" w:rsidRPr="001934E2" w:rsidRDefault="001934E2" w:rsidP="001934E2">
      <w:pPr>
        <w:ind w:left="1701" w:hanging="1701"/>
        <w:contextualSpacing/>
        <w:rPr>
          <w:b/>
        </w:rPr>
      </w:pPr>
      <w:r w:rsidRPr="001934E2">
        <w:rPr>
          <w:b/>
        </w:rPr>
        <w:t>Beobachtung:</w:t>
      </w:r>
    </w:p>
    <w:p w:rsidR="001934E2" w:rsidRPr="001934E2" w:rsidRDefault="001934E2" w:rsidP="001934E2">
      <w:pPr>
        <w:contextualSpacing/>
      </w:pPr>
      <w:r w:rsidRPr="001934E2">
        <w:t>Die unterschiedlichen Farbflecke laufen mit dem Fließmittel nach oben und trennen sich in u</w:t>
      </w:r>
      <w:r w:rsidRPr="001934E2">
        <w:t>n</w:t>
      </w:r>
      <w:r w:rsidRPr="001934E2">
        <w:t xml:space="preserve">terschiedliche Farben. </w:t>
      </w:r>
    </w:p>
    <w:p w:rsidR="001934E2" w:rsidRPr="001934E2" w:rsidRDefault="001934E2" w:rsidP="001934E2">
      <w:pPr>
        <w:contextualSpacing/>
        <w:jc w:val="center"/>
      </w:pPr>
      <w:r w:rsidRPr="001934E2">
        <w:rPr>
          <w:noProof/>
          <w:lang w:eastAsia="zh-CN"/>
        </w:rPr>
        <w:drawing>
          <wp:inline distT="0" distB="0" distL="0" distR="0" wp14:anchorId="5C8CD65A" wp14:editId="2208271E">
            <wp:extent cx="1538962" cy="2051384"/>
            <wp:effectExtent l="0" t="0" r="4445" b="6350"/>
            <wp:docPr id="30" name="Grafik 30" descr="C:\Users\Benja\AppData\Local\Microsoft\Windows\INetCache\Content.Word\20108507_1935619326720225_37261550357469623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nja\AppData\Local\Microsoft\Windows\INetCache\Content.Word\20108507_1935619326720225_3726155035746962330_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58" cy="20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E2" w:rsidRPr="001934E2" w:rsidRDefault="001934E2" w:rsidP="001934E2">
      <w:pPr>
        <w:pStyle w:val="Beschriftung"/>
        <w:contextualSpacing/>
        <w:jc w:val="center"/>
        <w:rPr>
          <w:noProof/>
          <w:sz w:val="22"/>
          <w:szCs w:val="22"/>
        </w:rPr>
      </w:pPr>
      <w:r w:rsidRPr="001934E2">
        <w:rPr>
          <w:sz w:val="22"/>
          <w:szCs w:val="22"/>
        </w:rPr>
        <w:t>Abb. 6 –</w:t>
      </w:r>
      <w:r w:rsidRPr="001934E2">
        <w:rPr>
          <w:noProof/>
          <w:sz w:val="22"/>
          <w:szCs w:val="22"/>
        </w:rPr>
        <w:t xml:space="preserve"> Chromatographiepapier mit der Farbgeschmischtrennung</w:t>
      </w:r>
    </w:p>
    <w:p w:rsidR="001934E2" w:rsidRPr="001934E2" w:rsidRDefault="001934E2" w:rsidP="001934E2"/>
    <w:p w:rsidR="001934E2" w:rsidRPr="001934E2" w:rsidRDefault="001934E2" w:rsidP="001934E2">
      <w:pPr>
        <w:contextualSpacing/>
        <w:rPr>
          <w:vertAlign w:val="superscript"/>
        </w:rPr>
      </w:pPr>
      <w:r w:rsidRPr="001934E2">
        <w:rPr>
          <w:b/>
        </w:rPr>
        <w:t>Fachwissenschaftliche Deutung:</w:t>
      </w:r>
      <w:r w:rsidRPr="001934E2">
        <w:rPr>
          <w:vertAlign w:val="superscript"/>
        </w:rPr>
        <w:t>[2]</w:t>
      </w:r>
    </w:p>
    <w:p w:rsidR="001934E2" w:rsidRPr="001934E2" w:rsidRDefault="001934E2" w:rsidP="001934E2">
      <w:pPr>
        <w:contextualSpacing/>
      </w:pPr>
      <w:r w:rsidRPr="001934E2">
        <w:t xml:space="preserve">Das Kieselgel bildet die stationäre Phase. Es handelt sich dabei um einen polaren Stoff. Als Fließmittel wird eine </w:t>
      </w:r>
      <w:proofErr w:type="spellStart"/>
      <w:r w:rsidRPr="001934E2">
        <w:t>Natriumchloridlösung</w:t>
      </w:r>
      <w:proofErr w:type="spellEnd"/>
      <w:r w:rsidRPr="001934E2">
        <w:t xml:space="preserve"> verwendet, welche ebenfalls polar ist. Das Fließmi</w:t>
      </w:r>
      <w:r w:rsidRPr="001934E2">
        <w:t>t</w:t>
      </w:r>
      <w:r w:rsidRPr="001934E2">
        <w:t>tel wird dabei als mobile Phase bezeichnet. Durch die Kapillarkräfte steigt das Fließmittel nach oben in die stationäre Phase. Sobald die mobile Phase mit den aufgetragenen Farbstoffen in B</w:t>
      </w:r>
      <w:r w:rsidRPr="001934E2">
        <w:t>e</w:t>
      </w:r>
      <w:r w:rsidRPr="001934E2">
        <w:t xml:space="preserve">rührung kommt, werden diese gelöst, wobei die Moleküle sowohl den </w:t>
      </w:r>
      <w:r w:rsidRPr="001934E2">
        <w:lastRenderedPageBreak/>
        <w:t>Anziehungskräften der stationären als auch mobilen Phase ausgesetzt sind. Je polarer ein Fließmittel ist, desto höher wird der aufgetragene Farbstoff hochgetragen.</w:t>
      </w:r>
    </w:p>
    <w:p w:rsidR="001934E2" w:rsidRPr="001934E2" w:rsidRDefault="001934E2" w:rsidP="001934E2">
      <w:pPr>
        <w:contextualSpacing/>
      </w:pPr>
    </w:p>
    <w:p w:rsidR="001934E2" w:rsidRPr="001934E2" w:rsidRDefault="001934E2" w:rsidP="001934E2">
      <w:pPr>
        <w:contextualSpacing/>
        <w:rPr>
          <w:b/>
        </w:rPr>
      </w:pPr>
      <w:r w:rsidRPr="001934E2">
        <w:rPr>
          <w:b/>
        </w:rPr>
        <w:t>Deutung:</w:t>
      </w:r>
    </w:p>
    <w:p w:rsidR="001934E2" w:rsidRPr="001934E2" w:rsidRDefault="001934E2" w:rsidP="001934E2">
      <w:pPr>
        <w:contextualSpacing/>
      </w:pPr>
      <w:r w:rsidRPr="001934E2">
        <w:t xml:space="preserve">Die Farbstoffe der </w:t>
      </w:r>
      <w:proofErr w:type="spellStart"/>
      <w:r w:rsidRPr="001934E2">
        <w:t>Smarties</w:t>
      </w:r>
      <w:proofErr w:type="spellEnd"/>
      <w:r w:rsidRPr="001934E2">
        <w:t xml:space="preserve"> sind keine Reinstoffe, sondern ihre Farbigkeit ist mit der Mischung unterschiedlicher Farbstoffe zu erklären. Die Löslichkeit und die Haftfähigkeit der unterschiedl</w:t>
      </w:r>
      <w:r w:rsidRPr="001934E2">
        <w:t>i</w:t>
      </w:r>
      <w:r w:rsidRPr="001934E2">
        <w:t xml:space="preserve">chen Farbstoffe sind dafür verantwortlich, dass die Farbstoffe unterschiedlich weit durch das Fließmittel hochgetragen werden können. </w:t>
      </w:r>
    </w:p>
    <w:p w:rsidR="001934E2" w:rsidRPr="001934E2" w:rsidRDefault="001934E2" w:rsidP="001934E2">
      <w:pPr>
        <w:contextualSpacing/>
      </w:pPr>
    </w:p>
    <w:p w:rsidR="001934E2" w:rsidRPr="001934E2" w:rsidRDefault="001934E2" w:rsidP="001934E2">
      <w:pPr>
        <w:ind w:left="1701" w:hanging="1701"/>
        <w:contextualSpacing/>
        <w:rPr>
          <w:b/>
        </w:rPr>
      </w:pPr>
      <w:r w:rsidRPr="001934E2">
        <w:rPr>
          <w:b/>
        </w:rPr>
        <w:t>Entsorgung:</w:t>
      </w:r>
    </w:p>
    <w:p w:rsidR="001934E2" w:rsidRPr="001934E2" w:rsidRDefault="001934E2" w:rsidP="001934E2">
      <w:pPr>
        <w:contextualSpacing/>
      </w:pPr>
      <w:r w:rsidRPr="001934E2">
        <w:t xml:space="preserve">Das verwendete </w:t>
      </w:r>
      <w:proofErr w:type="spellStart"/>
      <w:r w:rsidRPr="001934E2">
        <w:t>Chromatographiepapier</w:t>
      </w:r>
      <w:proofErr w:type="spellEnd"/>
      <w:r w:rsidRPr="001934E2">
        <w:t xml:space="preserve"> kann über den Haushaltsmüll und die </w:t>
      </w:r>
      <w:proofErr w:type="spellStart"/>
      <w:r w:rsidRPr="001934E2">
        <w:t>Natriumchlori</w:t>
      </w:r>
      <w:r w:rsidRPr="001934E2">
        <w:t>d</w:t>
      </w:r>
      <w:r w:rsidRPr="001934E2">
        <w:t>lösung</w:t>
      </w:r>
      <w:proofErr w:type="spellEnd"/>
      <w:r w:rsidRPr="001934E2">
        <w:t xml:space="preserve"> über den Abfluss entsorgt werden.</w:t>
      </w:r>
    </w:p>
    <w:p w:rsidR="001934E2" w:rsidRPr="001934E2" w:rsidRDefault="001934E2" w:rsidP="001934E2">
      <w:pPr>
        <w:contextualSpacing/>
      </w:pPr>
    </w:p>
    <w:p w:rsidR="001934E2" w:rsidRPr="001934E2" w:rsidRDefault="001934E2" w:rsidP="001934E2">
      <w:pPr>
        <w:contextualSpacing/>
        <w:rPr>
          <w:b/>
          <w:color w:val="auto"/>
        </w:rPr>
      </w:pPr>
      <w:r w:rsidRPr="001934E2">
        <w:rPr>
          <w:b/>
          <w:color w:val="auto"/>
        </w:rPr>
        <w:t xml:space="preserve">Unterrichtsanschlüsse: </w:t>
      </w:r>
    </w:p>
    <w:p w:rsidR="001934E2" w:rsidRPr="001934E2" w:rsidRDefault="001934E2" w:rsidP="001934E2">
      <w:pPr>
        <w:contextualSpacing/>
        <w:rPr>
          <w:color w:val="auto"/>
        </w:rPr>
      </w:pPr>
      <w:r w:rsidRPr="001934E2">
        <w:rPr>
          <w:color w:val="auto"/>
        </w:rPr>
        <w:t>Dieser Versuch kann vor allem auf Basis des bekannten Farbkreises verwendet werden. Die U</w:t>
      </w:r>
      <w:r w:rsidRPr="001934E2">
        <w:rPr>
          <w:color w:val="auto"/>
        </w:rPr>
        <w:t>n</w:t>
      </w:r>
      <w:r w:rsidRPr="001934E2">
        <w:rPr>
          <w:color w:val="auto"/>
        </w:rPr>
        <w:t xml:space="preserve">terscheidung in primär, sekundär und tertiären Farben hilft dabei, die Zusammensetzung des Farbstoffgemischs zu verstehen. Außerdem wird durch die Verwendung der </w:t>
      </w:r>
      <w:proofErr w:type="spellStart"/>
      <w:r w:rsidRPr="001934E2">
        <w:rPr>
          <w:color w:val="auto"/>
        </w:rPr>
        <w:t>Smarties</w:t>
      </w:r>
      <w:proofErr w:type="spellEnd"/>
      <w:r w:rsidRPr="001934E2">
        <w:rPr>
          <w:color w:val="auto"/>
        </w:rPr>
        <w:t xml:space="preserve"> ein hoher Alltagsbezug geschaffen. Ganz wichtig ist jedoch, dass darauf geachtet werden muss, das eine genügende Farbmenge auf dem </w:t>
      </w:r>
      <w:proofErr w:type="spellStart"/>
      <w:r w:rsidRPr="001934E2">
        <w:rPr>
          <w:color w:val="auto"/>
        </w:rPr>
        <w:t>Chromatographiepapier</w:t>
      </w:r>
      <w:proofErr w:type="spellEnd"/>
      <w:r w:rsidRPr="001934E2">
        <w:rPr>
          <w:color w:val="auto"/>
        </w:rPr>
        <w:t xml:space="preserve"> vorhanden ist, damit die Farbaufspa</w:t>
      </w:r>
      <w:r w:rsidRPr="001934E2">
        <w:rPr>
          <w:color w:val="auto"/>
        </w:rPr>
        <w:t>l</w:t>
      </w:r>
      <w:r w:rsidRPr="001934E2">
        <w:rPr>
          <w:color w:val="auto"/>
        </w:rPr>
        <w:t xml:space="preserve">tung auch nach einigen Tagen noch sichtbar ist. Alternativ kann eine Filzstiftchromatographie durchgeführt werden.  </w:t>
      </w:r>
    </w:p>
    <w:p w:rsidR="001934E2" w:rsidRPr="001934E2" w:rsidRDefault="001934E2" w:rsidP="001934E2">
      <w:pPr>
        <w:contextualSpacing/>
        <w:rPr>
          <w:color w:val="auto"/>
        </w:rPr>
      </w:pPr>
    </w:p>
    <w:p w:rsidR="001934E2" w:rsidRPr="001934E2" w:rsidRDefault="001934E2" w:rsidP="001934E2">
      <w:pPr>
        <w:ind w:left="1701" w:hanging="1701"/>
        <w:contextualSpacing/>
        <w:rPr>
          <w:b/>
        </w:rPr>
      </w:pPr>
      <w:r w:rsidRPr="001934E2">
        <w:rPr>
          <w:b/>
        </w:rPr>
        <w:t>Literatur:</w:t>
      </w:r>
    </w:p>
    <w:p w:rsidR="001934E2" w:rsidRPr="001934E2" w:rsidRDefault="001934E2" w:rsidP="001934E2">
      <w:pPr>
        <w:contextualSpacing/>
      </w:pPr>
      <w:r w:rsidRPr="001934E2">
        <w:t xml:space="preserve">[1] W. Eisner, P. </w:t>
      </w:r>
      <w:proofErr w:type="spellStart"/>
      <w:r w:rsidRPr="001934E2">
        <w:t>Gietz</w:t>
      </w:r>
      <w:proofErr w:type="spellEnd"/>
      <w:r w:rsidRPr="001934E2">
        <w:t xml:space="preserve">, A. Justus, K. </w:t>
      </w:r>
      <w:proofErr w:type="spellStart"/>
      <w:r w:rsidRPr="001934E2">
        <w:t>Laitenberger</w:t>
      </w:r>
      <w:proofErr w:type="spellEnd"/>
      <w:r w:rsidRPr="001934E2">
        <w:t xml:space="preserve">, H. </w:t>
      </w:r>
      <w:proofErr w:type="spellStart"/>
      <w:r w:rsidRPr="001934E2">
        <w:t>Nickolay</w:t>
      </w:r>
      <w:proofErr w:type="spellEnd"/>
      <w:r w:rsidRPr="001934E2">
        <w:t xml:space="preserve">, W. </w:t>
      </w:r>
      <w:proofErr w:type="spellStart"/>
      <w:r w:rsidRPr="001934E2">
        <w:t>Schierle</w:t>
      </w:r>
      <w:proofErr w:type="spellEnd"/>
      <w:r w:rsidRPr="001934E2">
        <w:t>, B. Schmidt, M. Ster</w:t>
      </w:r>
      <w:r w:rsidRPr="001934E2">
        <w:t>n</w:t>
      </w:r>
      <w:r w:rsidRPr="001934E2">
        <w:t>berg, T. Zippel, Elemente Chemie 1A, Klett, 1. Auflage, 2003, S. 56</w:t>
      </w:r>
    </w:p>
    <w:p w:rsidR="001934E2" w:rsidRPr="001934E2" w:rsidRDefault="001934E2" w:rsidP="001934E2">
      <w:pPr>
        <w:contextualSpacing/>
      </w:pPr>
      <w:r w:rsidRPr="001934E2">
        <w:t>[2] Unbekannt, Dünnschichtchromatographie, http://www.chemie.de/lexikon/D%C3%BCnnschichtchromatografie.html, abgerufen am 23.07.2017 um 14:55 Uhr.</w:t>
      </w:r>
    </w:p>
    <w:p w:rsidR="00416073" w:rsidRDefault="00416073"/>
    <w:sectPr w:rsidR="00416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7D"/>
    <w:rsid w:val="001934E2"/>
    <w:rsid w:val="00416073"/>
    <w:rsid w:val="008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4E2"/>
    <w:pPr>
      <w:spacing w:after="200" w:line="360" w:lineRule="auto"/>
      <w:jc w:val="both"/>
    </w:pPr>
    <w:rPr>
      <w:rFonts w:ascii="Cambria" w:eastAsiaTheme="minorHAnsi" w:hAnsi="Cambria"/>
      <w:color w:val="171717" w:themeColor="background2" w:themeShade="1A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34E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4E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4E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4E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4E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4E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4E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4E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4E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4E2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4E2"/>
    <w:rPr>
      <w:rFonts w:asciiTheme="majorHAnsi" w:eastAsiaTheme="majorEastAsia" w:hAnsiTheme="majorHAnsi" w:cstheme="majorBidi"/>
      <w:b/>
      <w:bCs/>
      <w:color w:val="171717" w:themeColor="background2" w:themeShade="1A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4E2"/>
    <w:rPr>
      <w:rFonts w:asciiTheme="majorHAnsi" w:eastAsiaTheme="majorEastAsia" w:hAnsiTheme="majorHAnsi" w:cstheme="majorBidi"/>
      <w:b/>
      <w:bCs/>
      <w:i/>
      <w:color w:val="171717" w:themeColor="background2" w:themeShade="1A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4E2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4E2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4E2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4E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4E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1934E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4E2"/>
    <w:rPr>
      <w:rFonts w:ascii="Tahoma" w:eastAsiaTheme="minorHAnsi" w:hAnsi="Tahoma" w:cs="Tahoma"/>
      <w:color w:val="171717" w:themeColor="background2" w:themeShade="1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4E2"/>
    <w:pPr>
      <w:spacing w:after="200" w:line="360" w:lineRule="auto"/>
      <w:jc w:val="both"/>
    </w:pPr>
    <w:rPr>
      <w:rFonts w:ascii="Cambria" w:eastAsiaTheme="minorHAnsi" w:hAnsi="Cambria"/>
      <w:color w:val="171717" w:themeColor="background2" w:themeShade="1A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34E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4E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4E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4E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4E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4E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4E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4E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4E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4E2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4E2"/>
    <w:rPr>
      <w:rFonts w:asciiTheme="majorHAnsi" w:eastAsiaTheme="majorEastAsia" w:hAnsiTheme="majorHAnsi" w:cstheme="majorBidi"/>
      <w:b/>
      <w:bCs/>
      <w:color w:val="171717" w:themeColor="background2" w:themeShade="1A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4E2"/>
    <w:rPr>
      <w:rFonts w:asciiTheme="majorHAnsi" w:eastAsiaTheme="majorEastAsia" w:hAnsiTheme="majorHAnsi" w:cstheme="majorBidi"/>
      <w:b/>
      <w:bCs/>
      <w:i/>
      <w:color w:val="171717" w:themeColor="background2" w:themeShade="1A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4E2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4E2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4E2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4E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4E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1934E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4E2"/>
    <w:rPr>
      <w:rFonts w:ascii="Tahoma" w:eastAsiaTheme="minorHAnsi" w:hAnsi="Tahoma" w:cs="Tahoma"/>
      <w:color w:val="171717" w:themeColor="background2" w:themeShade="1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microsoft.com/office/2007/relationships/hdphoto" Target="media/hdphoto4.wd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1D205601.dotm</Template>
  <TotalTime>0</TotalTime>
  <Pages>3</Pages>
  <Words>591</Words>
  <Characters>3729</Characters>
  <Application>Microsoft Office Word</Application>
  <DocSecurity>0</DocSecurity>
  <Lines>31</Lines>
  <Paragraphs>8</Paragraphs>
  <ScaleCrop>false</ScaleCrop>
  <Company>Universität Göttingen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Krasniqi, Habibe</dc:creator>
  <cp:keywords/>
  <dc:description/>
  <cp:lastModifiedBy>Krasniqi, Habibe</cp:lastModifiedBy>
  <cp:revision>2</cp:revision>
  <dcterms:created xsi:type="dcterms:W3CDTF">2017-09-29T08:48:00Z</dcterms:created>
  <dcterms:modified xsi:type="dcterms:W3CDTF">2017-09-29T08:48:00Z</dcterms:modified>
</cp:coreProperties>
</file>