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82E" w:rsidRDefault="005B782E" w:rsidP="005B782E">
      <w:pPr>
        <w:pStyle w:val="berschrift1"/>
        <w:numPr>
          <w:ilvl w:val="0"/>
          <w:numId w:val="0"/>
        </w:numPr>
        <w:ind w:left="431" w:hanging="431"/>
      </w:pPr>
      <w:r>
        <w:rPr>
          <w:noProof/>
          <w:lang w:eastAsia="de-DE"/>
        </w:rPr>
        <mc:AlternateContent>
          <mc:Choice Requires="wps">
            <w:drawing>
              <wp:anchor distT="0" distB="0" distL="114300" distR="114300" simplePos="0" relativeHeight="251659264" behindDoc="0" locked="0" layoutInCell="1" allowOverlap="1" wp14:anchorId="59B71EB1" wp14:editId="61214E88">
                <wp:simplePos x="0" y="0"/>
                <wp:positionH relativeFrom="column">
                  <wp:posOffset>-635</wp:posOffset>
                </wp:positionH>
                <wp:positionV relativeFrom="paragraph">
                  <wp:posOffset>697865</wp:posOffset>
                </wp:positionV>
                <wp:extent cx="5873115" cy="1270000"/>
                <wp:effectExtent l="0" t="0" r="13335" b="2540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7000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782E" w:rsidRDefault="005B782E" w:rsidP="005B782E">
                            <w:pPr>
                              <w:rPr>
                                <w:color w:val="auto"/>
                              </w:rPr>
                            </w:pPr>
                            <w:r>
                              <w:rPr>
                                <w:color w:val="auto"/>
                              </w:rPr>
                              <w:t xml:space="preserve">Als Wunder- bzw. Erarbeitungsexperiment konzipiert, demonstriert das Experiment wie Eis durch einen hohen lokalen Druck in Form eines dünnen Eisendrahtes mit Gewichten Eis in geringem Umfang zum Schmelzen bringen kann. Das Vorwissen der SuS sollte soweit reichen, dass Druckauswirkungen auf einen Schmelzpunkt bekannt ist. Ebenso sollte aus der Physik ein Grundverständnis für Kraftwirkung vorhanden sein.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left:0;text-align:left;margin-left:-.05pt;margin-top:54.95pt;width:462.45pt;height:10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" strokecolor="#4bacc6" strokeweight="1pt">
                <v:stroke dashstyle="dash"/>
                <v:shadow color="#868686"/>
                <v:textbox>
                  <w:txbxContent>
                    <w:p w:rsidR="005B782E" w:rsidRDefault="005B782E" w:rsidP="005B782E">
                      <w:pPr>
                        <w:rPr>
                          <w:color w:val="auto"/>
                        </w:rPr>
                      </w:pPr>
                      <w:r>
                        <w:rPr>
                          <w:color w:val="auto"/>
                        </w:rPr>
                        <w:t xml:space="preserve">Als Wunder- bzw. Erarbeitungsexperiment konzipiert, demonstriert das Experiment wie Eis durch einen hohen lokalen Druck in Form eines dünnen Eisendrahtes mit Gewichten Eis in geringem Umfang zum Schmelzen bringen kann. Das Vorwissen der SuS sollte soweit reichen, dass Druckauswirkungen auf einen Schmelzpunkt bekannt ist. Ebenso sollte aus der Physik ein Grundverständnis für Kraftwirkung vorhanden sein.  </w:t>
                      </w:r>
                    </w:p>
                  </w:txbxContent>
                </v:textbox>
                <w10:wrap type="square"/>
              </v:shape>
            </w:pict>
          </mc:Fallback>
        </mc:AlternateContent>
      </w:r>
      <w:bookmarkStart w:id="0" w:name="_Toc337138003"/>
      <w:r>
        <w:t>V 2</w:t>
      </w:r>
      <w:bookmarkStart w:id="1" w:name="_GoBack"/>
      <w:bookmarkEnd w:id="1"/>
      <w:r>
        <w:t xml:space="preserve"> – „Draht gleitet ohne Schaden durch einen Eisblock“</w:t>
      </w:r>
      <w:bookmarkEnd w:id="0"/>
    </w:p>
    <w:p w:rsidR="005B782E" w:rsidRDefault="005B782E" w:rsidP="005B782E"/>
    <w:tbl>
      <w:tblPr>
        <w:tblW w:w="9771" w:type="dxa"/>
        <w:tblBorders>
          <w:top w:val="single" w:sz="8" w:space="0" w:color="4F81BD"/>
          <w:bottom w:val="single" w:sz="8" w:space="0" w:color="4F81BD"/>
        </w:tblBorders>
        <w:tblLook w:val="04A0" w:firstRow="1" w:lastRow="0" w:firstColumn="1" w:lastColumn="0" w:noHBand="0" w:noVBand="1"/>
      </w:tblPr>
      <w:tblGrid>
        <w:gridCol w:w="2259"/>
        <w:gridCol w:w="1677"/>
        <w:gridCol w:w="2551"/>
        <w:gridCol w:w="3284"/>
      </w:tblGrid>
      <w:tr w:rsidR="005B782E" w:rsidTr="005B782E">
        <w:tc>
          <w:tcPr>
            <w:tcW w:w="6487" w:type="dxa"/>
            <w:gridSpan w:val="3"/>
            <w:tcBorders>
              <w:top w:val="single" w:sz="8" w:space="0" w:color="4F81BD"/>
              <w:left w:val="nil"/>
              <w:bottom w:val="single" w:sz="8" w:space="0" w:color="4F81BD"/>
              <w:right w:val="nil"/>
            </w:tcBorders>
            <w:vAlign w:val="center"/>
            <w:hideMark/>
          </w:tcPr>
          <w:p w:rsidR="005B782E" w:rsidRDefault="005B782E">
            <w:pPr>
              <w:spacing w:after="0"/>
              <w:jc w:val="center"/>
              <w:rPr>
                <w:b/>
                <w:bCs/>
                <w:sz w:val="20"/>
              </w:rPr>
            </w:pPr>
            <w:r>
              <w:rPr>
                <w:b/>
                <w:bCs/>
                <w:sz w:val="20"/>
              </w:rPr>
              <w:t>Gefahrenstoffe</w:t>
            </w:r>
          </w:p>
        </w:tc>
        <w:tc>
          <w:tcPr>
            <w:tcW w:w="3284" w:type="dxa"/>
            <w:vMerge w:val="restart"/>
            <w:tcBorders>
              <w:top w:val="nil"/>
              <w:left w:val="nil"/>
              <w:bottom w:val="nil"/>
              <w:right w:val="nil"/>
            </w:tcBorders>
          </w:tcPr>
          <w:p w:rsidR="005B782E" w:rsidRDefault="005B782E">
            <w:pPr>
              <w:spacing w:after="0"/>
              <w:rPr>
                <w:b/>
                <w:bCs/>
                <w:noProof/>
                <w:color w:val="0000FF"/>
                <w:lang w:eastAsia="de-DE"/>
              </w:rPr>
            </w:pPr>
          </w:p>
        </w:tc>
      </w:tr>
      <w:tr w:rsidR="005B782E" w:rsidTr="005B782E">
        <w:trPr>
          <w:trHeight w:val="314"/>
        </w:trPr>
        <w:tc>
          <w:tcPr>
            <w:tcW w:w="2259" w:type="dxa"/>
            <w:tcBorders>
              <w:top w:val="nil"/>
              <w:left w:val="nil"/>
              <w:bottom w:val="nil"/>
              <w:right w:val="nil"/>
            </w:tcBorders>
            <w:shd w:val="clear" w:color="auto" w:fill="D3DFEE"/>
            <w:vAlign w:val="center"/>
            <w:hideMark/>
          </w:tcPr>
          <w:p w:rsidR="005B782E" w:rsidRDefault="005B782E">
            <w:pPr>
              <w:spacing w:after="0" w:line="276" w:lineRule="auto"/>
              <w:ind w:right="-180"/>
              <w:jc w:val="center"/>
              <w:rPr>
                <w:bCs/>
                <w:sz w:val="20"/>
              </w:rPr>
            </w:pPr>
            <w:r>
              <w:rPr>
                <w:bCs/>
                <w:sz w:val="20"/>
              </w:rPr>
              <w:t>Eisen (Draht)</w:t>
            </w:r>
          </w:p>
        </w:tc>
        <w:tc>
          <w:tcPr>
            <w:tcW w:w="1677" w:type="dxa"/>
            <w:tcBorders>
              <w:top w:val="nil"/>
              <w:left w:val="nil"/>
              <w:bottom w:val="nil"/>
              <w:right w:val="nil"/>
            </w:tcBorders>
            <w:shd w:val="clear" w:color="auto" w:fill="D3DFEE"/>
            <w:vAlign w:val="center"/>
            <w:hideMark/>
          </w:tcPr>
          <w:p w:rsidR="005B782E" w:rsidRDefault="005B782E">
            <w:pPr>
              <w:spacing w:after="0" w:line="276" w:lineRule="auto"/>
              <w:jc w:val="center"/>
              <w:rPr>
                <w:color w:val="auto"/>
                <w:sz w:val="20"/>
              </w:rPr>
            </w:pPr>
            <w:r>
              <w:rPr>
                <w:color w:val="auto"/>
                <w:sz w:val="20"/>
              </w:rPr>
              <w:t>H: -</w:t>
            </w:r>
          </w:p>
        </w:tc>
        <w:tc>
          <w:tcPr>
            <w:tcW w:w="2551" w:type="dxa"/>
            <w:tcBorders>
              <w:top w:val="nil"/>
              <w:left w:val="nil"/>
              <w:bottom w:val="nil"/>
              <w:right w:val="nil"/>
            </w:tcBorders>
            <w:shd w:val="clear" w:color="auto" w:fill="D3DFEE"/>
            <w:vAlign w:val="center"/>
            <w:hideMark/>
          </w:tcPr>
          <w:p w:rsidR="005B782E" w:rsidRDefault="005B782E">
            <w:pPr>
              <w:spacing w:after="0" w:line="276" w:lineRule="auto"/>
              <w:jc w:val="center"/>
              <w:rPr>
                <w:color w:val="auto"/>
                <w:sz w:val="20"/>
              </w:rPr>
            </w:pPr>
            <w:r>
              <w:rPr>
                <w:color w:val="auto"/>
                <w:sz w:val="20"/>
              </w:rPr>
              <w:t xml:space="preserve">P: </w:t>
            </w:r>
            <w:r>
              <w:t>-</w:t>
            </w:r>
          </w:p>
        </w:tc>
        <w:tc>
          <w:tcPr>
            <w:tcW w:w="0" w:type="auto"/>
            <w:vMerge/>
            <w:tcBorders>
              <w:top w:val="nil"/>
              <w:left w:val="nil"/>
              <w:bottom w:val="nil"/>
              <w:right w:val="nil"/>
            </w:tcBorders>
            <w:vAlign w:val="center"/>
            <w:hideMark/>
          </w:tcPr>
          <w:p w:rsidR="005B782E" w:rsidRDefault="005B782E">
            <w:pPr>
              <w:spacing w:after="0" w:line="240" w:lineRule="auto"/>
              <w:jc w:val="left"/>
              <w:rPr>
                <w:b/>
                <w:bCs/>
                <w:noProof/>
                <w:color w:val="0000FF"/>
                <w:lang w:eastAsia="de-DE"/>
              </w:rPr>
            </w:pPr>
          </w:p>
        </w:tc>
      </w:tr>
      <w:tr w:rsidR="005B782E" w:rsidTr="005B782E">
        <w:tc>
          <w:tcPr>
            <w:tcW w:w="2259" w:type="dxa"/>
            <w:tcBorders>
              <w:top w:val="nil"/>
              <w:left w:val="nil"/>
              <w:bottom w:val="single" w:sz="8" w:space="0" w:color="4F81BD"/>
              <w:right w:val="nil"/>
            </w:tcBorders>
            <w:vAlign w:val="center"/>
            <w:hideMark/>
          </w:tcPr>
          <w:p w:rsidR="005B782E" w:rsidRDefault="005B782E">
            <w:pPr>
              <w:spacing w:after="0" w:line="276" w:lineRule="auto"/>
              <w:ind w:right="-180"/>
              <w:jc w:val="center"/>
              <w:rPr>
                <w:bCs/>
                <w:color w:val="auto"/>
                <w:sz w:val="20"/>
                <w:szCs w:val="20"/>
              </w:rPr>
            </w:pPr>
            <w:r>
              <w:rPr>
                <w:bCs/>
                <w:color w:val="auto"/>
                <w:sz w:val="20"/>
                <w:szCs w:val="20"/>
              </w:rPr>
              <w:t>Wasser</w:t>
            </w:r>
          </w:p>
        </w:tc>
        <w:tc>
          <w:tcPr>
            <w:tcW w:w="1677" w:type="dxa"/>
            <w:tcBorders>
              <w:top w:val="nil"/>
              <w:left w:val="nil"/>
              <w:bottom w:val="single" w:sz="8" w:space="0" w:color="4F81BD"/>
              <w:right w:val="nil"/>
            </w:tcBorders>
            <w:vAlign w:val="center"/>
            <w:hideMark/>
          </w:tcPr>
          <w:p w:rsidR="005B782E" w:rsidRDefault="005B782E">
            <w:pPr>
              <w:spacing w:after="0" w:line="276" w:lineRule="auto"/>
              <w:ind w:hanging="44"/>
              <w:jc w:val="center"/>
              <w:rPr>
                <w:color w:val="auto"/>
                <w:sz w:val="20"/>
                <w:szCs w:val="20"/>
              </w:rPr>
            </w:pPr>
            <w:r>
              <w:rPr>
                <w:color w:val="auto"/>
                <w:sz w:val="20"/>
                <w:szCs w:val="20"/>
              </w:rPr>
              <w:t xml:space="preserve">H: </w:t>
            </w:r>
            <w:r>
              <w:t>-</w:t>
            </w:r>
          </w:p>
        </w:tc>
        <w:tc>
          <w:tcPr>
            <w:tcW w:w="2551" w:type="dxa"/>
            <w:tcBorders>
              <w:top w:val="nil"/>
              <w:left w:val="nil"/>
              <w:bottom w:val="single" w:sz="8" w:space="0" w:color="4F81BD"/>
              <w:right w:val="nil"/>
            </w:tcBorders>
            <w:vAlign w:val="center"/>
            <w:hideMark/>
          </w:tcPr>
          <w:p w:rsidR="005B782E" w:rsidRDefault="005B782E">
            <w:pPr>
              <w:spacing w:after="0" w:line="276" w:lineRule="auto"/>
              <w:ind w:hanging="44"/>
              <w:jc w:val="center"/>
              <w:rPr>
                <w:color w:val="auto"/>
                <w:sz w:val="20"/>
                <w:szCs w:val="20"/>
              </w:rPr>
            </w:pPr>
            <w:r>
              <w:rPr>
                <w:color w:val="auto"/>
                <w:sz w:val="20"/>
                <w:szCs w:val="20"/>
              </w:rPr>
              <w:t>P: -</w:t>
            </w:r>
          </w:p>
        </w:tc>
        <w:tc>
          <w:tcPr>
            <w:tcW w:w="0" w:type="auto"/>
            <w:vMerge/>
            <w:tcBorders>
              <w:top w:val="nil"/>
              <w:left w:val="nil"/>
              <w:bottom w:val="nil"/>
              <w:right w:val="nil"/>
            </w:tcBorders>
            <w:vAlign w:val="center"/>
            <w:hideMark/>
          </w:tcPr>
          <w:p w:rsidR="005B782E" w:rsidRDefault="005B782E">
            <w:pPr>
              <w:spacing w:after="0" w:line="240" w:lineRule="auto"/>
              <w:jc w:val="left"/>
              <w:rPr>
                <w:b/>
                <w:bCs/>
                <w:noProof/>
                <w:color w:val="0000FF"/>
                <w:lang w:eastAsia="de-DE"/>
              </w:rPr>
            </w:pPr>
          </w:p>
        </w:tc>
      </w:tr>
    </w:tbl>
    <w:p w:rsidR="005B782E" w:rsidRDefault="005B782E" w:rsidP="005B782E">
      <w:pPr>
        <w:tabs>
          <w:tab w:val="left" w:pos="1701"/>
          <w:tab w:val="left" w:pos="1985"/>
        </w:tabs>
        <w:ind w:left="1980" w:hanging="1980"/>
      </w:pPr>
    </w:p>
    <w:p w:rsidR="005B782E" w:rsidRDefault="005B782E" w:rsidP="005B782E">
      <w:pPr>
        <w:tabs>
          <w:tab w:val="left" w:pos="1701"/>
          <w:tab w:val="left" w:pos="1985"/>
        </w:tabs>
        <w:ind w:left="1980" w:hanging="1980"/>
      </w:pPr>
      <w:r>
        <w:t xml:space="preserve">Materialien: </w:t>
      </w:r>
      <w:r>
        <w:tab/>
      </w:r>
      <w:r>
        <w:tab/>
        <w:t>2x 1kg Gewichte, 2x Dreifuß mit Drahtnetz, Auffangwanne (mind. 50x20 cm).</w:t>
      </w:r>
    </w:p>
    <w:p w:rsidR="005B782E" w:rsidRDefault="005B782E" w:rsidP="005B782E">
      <w:pPr>
        <w:tabs>
          <w:tab w:val="left" w:pos="1701"/>
          <w:tab w:val="left" w:pos="1985"/>
        </w:tabs>
        <w:ind w:left="1980" w:hanging="1980"/>
      </w:pPr>
      <w:r>
        <w:t>Chemikalien:</w:t>
      </w:r>
      <w:r>
        <w:tab/>
      </w:r>
      <w:r>
        <w:tab/>
        <w:t>Eisblock (mind. 20x5x5 cm), Eisendraht (&lt; 0,3 mm).</w:t>
      </w:r>
    </w:p>
    <w:p w:rsidR="005B782E" w:rsidRDefault="005B782E" w:rsidP="005B782E">
      <w:pPr>
        <w:tabs>
          <w:tab w:val="left" w:pos="1701"/>
          <w:tab w:val="left" w:pos="1985"/>
        </w:tabs>
        <w:ind w:left="1980" w:hanging="1980"/>
      </w:pPr>
      <w:r>
        <w:t xml:space="preserve">Durchführung: </w:t>
      </w:r>
      <w:r>
        <w:tab/>
      </w:r>
      <w:r>
        <w:tab/>
        <w:t>Eisblock zwischen den Dreifüßen sicher aufstellen. Draht mit den Gewic</w:t>
      </w:r>
      <w:r>
        <w:t>h</w:t>
      </w:r>
      <w:r>
        <w:t>ten fest verbinden und auflegen. Die Wartezeit bis zum ersten Effekt b</w:t>
      </w:r>
      <w:r>
        <w:t>e</w:t>
      </w:r>
      <w:r>
        <w:t>trägt nur ca. 15 min. Der Versuch selbst kann mehrere Stunden weiterla</w:t>
      </w:r>
      <w:r>
        <w:t>u</w:t>
      </w:r>
      <w:r>
        <w:t>fen, bis der Draht den Eisblock durchquert hat (</w:t>
      </w:r>
      <w:r>
        <w:fldChar w:fldCharType="begin"/>
      </w:r>
      <w:r>
        <w:instrText xml:space="preserve"> REF _Ref336828893 \h </w:instrText>
      </w:r>
      <w:r>
        <w:fldChar w:fldCharType="separate"/>
      </w:r>
      <w:r>
        <w:t xml:space="preserve">Abbildung </w:t>
      </w:r>
      <w:r>
        <w:rPr>
          <w:noProof/>
        </w:rPr>
        <w:t>2</w:t>
      </w:r>
      <w:r>
        <w:fldChar w:fldCharType="end"/>
      </w:r>
      <w:r>
        <w:t xml:space="preserve">). </w:t>
      </w:r>
    </w:p>
    <w:p w:rsidR="005B782E" w:rsidRDefault="005B782E" w:rsidP="005B782E">
      <w:pPr>
        <w:tabs>
          <w:tab w:val="left" w:pos="1701"/>
          <w:tab w:val="left" w:pos="1985"/>
        </w:tabs>
        <w:ind w:left="1980" w:hanging="1980"/>
      </w:pPr>
      <w:r>
        <w:t>Beobachtung:</w:t>
      </w:r>
      <w:r>
        <w:tab/>
      </w:r>
      <w:r>
        <w:tab/>
      </w:r>
      <w:r>
        <w:tab/>
        <w:t>Der Draht gleitet langsam in das Eis hinein. Am Anfang kann man geringe Mengen flüssiges Wasser um den Draht herum sehen.</w:t>
      </w:r>
    </w:p>
    <w:p w:rsidR="005B782E" w:rsidRDefault="005B782E" w:rsidP="005B782E">
      <w:pPr>
        <w:keepNext/>
        <w:tabs>
          <w:tab w:val="left" w:pos="0"/>
          <w:tab w:val="left" w:pos="1701"/>
        </w:tabs>
        <w:ind w:firstLine="5"/>
      </w:pPr>
      <w:r>
        <w:rPr>
          <w:noProof/>
          <w:lang w:eastAsia="de-DE"/>
        </w:rPr>
        <w:lastRenderedPageBreak/>
        <w:t xml:space="preserve"> </w:t>
      </w:r>
      <w:r>
        <w:rPr>
          <w:noProof/>
          <w:lang w:eastAsia="de-DE"/>
        </w:rPr>
        <w:drawing>
          <wp:inline distT="0" distB="0" distL="0" distR="0">
            <wp:extent cx="5753735" cy="4097655"/>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735" cy="4097655"/>
                    </a:xfrm>
                    <a:prstGeom prst="rect">
                      <a:avLst/>
                    </a:prstGeom>
                    <a:noFill/>
                    <a:ln>
                      <a:noFill/>
                    </a:ln>
                  </pic:spPr>
                </pic:pic>
              </a:graphicData>
            </a:graphic>
          </wp:inline>
        </w:drawing>
      </w:r>
    </w:p>
    <w:p w:rsidR="005B782E" w:rsidRDefault="005B782E" w:rsidP="005B782E">
      <w:pPr>
        <w:pStyle w:val="Beschriftung"/>
      </w:pPr>
      <w:bookmarkStart w:id="2" w:name="_Ref336828893"/>
      <w:r>
        <w:t xml:space="preserve">Abbildung </w:t>
      </w:r>
      <w:r>
        <w:fldChar w:fldCharType="begin"/>
      </w:r>
      <w:r>
        <w:instrText xml:space="preserve"> SEQ Abbildung \* ARABIC </w:instrText>
      </w:r>
      <w:r>
        <w:fldChar w:fldCharType="separate"/>
      </w:r>
      <w:r>
        <w:rPr>
          <w:noProof/>
        </w:rPr>
        <w:t>2</w:t>
      </w:r>
      <w:r>
        <w:fldChar w:fldCharType="end"/>
      </w:r>
      <w:bookmarkEnd w:id="2"/>
      <w:r>
        <w:t xml:space="preserve">: Aufbau zu Versuch „Draht gleitet ohne Schaden durch einen Eisblock“ inkl. Phasendiagramm für die </w:t>
      </w:r>
      <w:proofErr w:type="spellStart"/>
      <w:r>
        <w:t>LehrerIn</w:t>
      </w:r>
      <w:proofErr w:type="spellEnd"/>
    </w:p>
    <w:p w:rsidR="005B782E" w:rsidRDefault="005B782E" w:rsidP="005B782E">
      <w:pPr>
        <w:keepNext/>
        <w:tabs>
          <w:tab w:val="left" w:pos="0"/>
          <w:tab w:val="left" w:pos="1701"/>
        </w:tabs>
        <w:ind w:firstLine="5"/>
      </w:pPr>
      <w:r>
        <w:rPr>
          <w:noProof/>
          <w:lang w:eastAsia="de-DE"/>
        </w:rPr>
        <w:t xml:space="preserve"> </w:t>
      </w:r>
    </w:p>
    <w:p w:rsidR="005B782E" w:rsidRDefault="005B782E" w:rsidP="005B782E">
      <w:pPr>
        <w:tabs>
          <w:tab w:val="left" w:pos="1701"/>
          <w:tab w:val="left" w:pos="1985"/>
        </w:tabs>
        <w:ind w:left="1980" w:hanging="1980"/>
        <w:rPr>
          <w:rFonts w:eastAsia="MS Mincho"/>
        </w:rPr>
      </w:pPr>
      <w:r>
        <w:t>Deutung:</w:t>
      </w:r>
      <w:r>
        <w:tab/>
      </w:r>
      <w:r>
        <w:tab/>
      </w:r>
      <w:r>
        <w:tab/>
        <w:t>Es herrscht lokal ein hoher Druck, welcher das Eis schmelzen lässt. Dieses flüssige Wasser fließt um den Draht herum und gefriert oberhalb des Drahtes wieder, weil der Eisblock insgesamt eine starke Kühlung unter den Gefrierpunkt verursacht.</w:t>
      </w:r>
    </w:p>
    <w:p w:rsidR="005B782E" w:rsidRDefault="005B782E" w:rsidP="005B782E">
      <w:pPr>
        <w:tabs>
          <w:tab w:val="left" w:pos="1701"/>
          <w:tab w:val="left" w:pos="1985"/>
        </w:tabs>
        <w:ind w:left="1980" w:hanging="1980"/>
        <w:rPr>
          <w:noProof/>
        </w:rPr>
      </w:pPr>
      <w:r>
        <w:t>Literatur:</w:t>
      </w:r>
      <w:r>
        <w:tab/>
      </w:r>
      <w:r>
        <w:tab/>
        <w:t>Andreas Tillmann, 2009,</w:t>
      </w:r>
      <w:r>
        <w:rPr>
          <w:noProof/>
        </w:rPr>
        <w:t xml:space="preserve"> http://www.kids-and-science.de/experimente-fuer-kinder/detailansicht/datum/2009/08/11/versuch-mit-einem-eisblock-einem-draht-und-einem-gewicht.html (abgerufen am 25.9.2012 18 Uhr)</w:t>
      </w:r>
    </w:p>
    <w:p w:rsidR="005B782E" w:rsidRDefault="005B782E" w:rsidP="005B782E">
      <w:pPr>
        <w:tabs>
          <w:tab w:val="left" w:pos="1701"/>
          <w:tab w:val="left" w:pos="1985"/>
        </w:tabs>
        <w:ind w:left="1980" w:hanging="1980"/>
      </w:pPr>
    </w:p>
    <w:p w:rsidR="005B782E" w:rsidRDefault="005B782E" w:rsidP="005B782E">
      <w:pPr>
        <w:tabs>
          <w:tab w:val="left" w:pos="1701"/>
          <w:tab w:val="left" w:pos="1985"/>
        </w:tabs>
        <w:ind w:left="1980" w:hanging="1980"/>
        <w:rPr>
          <w:rFonts w:eastAsia="MS Mincho"/>
        </w:rPr>
      </w:pPr>
      <w:r>
        <w:rPr>
          <w:noProof/>
          <w:lang w:eastAsia="de-DE"/>
        </w:rPr>
        <w:lastRenderedPageBreak/>
        <mc:AlternateContent>
          <mc:Choice Requires="wps">
            <w:drawing>
              <wp:inline distT="0" distB="0" distL="0" distR="0">
                <wp:extent cx="5873115" cy="1287145"/>
                <wp:effectExtent l="9525" t="9525" r="13335" b="8255"/>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714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B782E" w:rsidRDefault="005B782E" w:rsidP="005B782E">
                            <w:pPr>
                              <w:rPr>
                                <w:color w:val="auto"/>
                              </w:rPr>
                            </w:pPr>
                            <w:r>
                              <w:rPr>
                                <w:color w:val="auto"/>
                              </w:rPr>
                              <w:t>Dieses Experiment bietet die Möglichkeit für die Vernetzung bereits im Rahmen der Unte</w:t>
                            </w:r>
                            <w:r>
                              <w:rPr>
                                <w:color w:val="auto"/>
                              </w:rPr>
                              <w:t>r</w:t>
                            </w:r>
                            <w:r>
                              <w:rPr>
                                <w:color w:val="auto"/>
                              </w:rPr>
                              <w:t xml:space="preserve">richtseinheit behandelter fachwissenschaftlicher Bereiche, vorzugsweise als Gruppenarbeit. Die SuS müssen zum genauen Beobachten angehalten werden, um das sich bildende flüssige Wasser zu beobachten. Lebensweltlich kann das Funktionsprinzip des Schlittschuhs erläutert werden.  </w:t>
                            </w:r>
                          </w:p>
                        </w:txbxContent>
                      </wps:txbx>
                      <wps:bodyPr rot="0" vert="horz" wrap="square" lIns="91440" tIns="45720" rIns="91440" bIns="45720" anchor="t" anchorCtr="0" upright="1">
                        <a:noAutofit/>
                      </wps:bodyPr>
                    </wps:wsp>
                  </a:graphicData>
                </a:graphic>
              </wp:inline>
            </w:drawing>
          </mc:Choice>
          <mc:Fallback>
            <w:pict>
              <v:shape id="Textfeld 5" o:spid="_x0000_s1027" type="#_x0000_t202" style="width:462.45pt;height:10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" strokecolor="#c0504d" strokeweight="1pt">
                <v:stroke dashstyle="dash"/>
                <v:shadow color="#868686"/>
                <v:textbox>
                  <w:txbxContent>
                    <w:p w:rsidR="005B782E" w:rsidRDefault="005B782E" w:rsidP="005B782E">
                      <w:pPr>
                        <w:rPr>
                          <w:color w:val="auto"/>
                        </w:rPr>
                      </w:pPr>
                      <w:r>
                        <w:rPr>
                          <w:color w:val="auto"/>
                        </w:rPr>
                        <w:t>Dieses Experiment bietet die Möglichkeit für die Vernetzung bereits im Rahmen der Unte</w:t>
                      </w:r>
                      <w:r>
                        <w:rPr>
                          <w:color w:val="auto"/>
                        </w:rPr>
                        <w:t>r</w:t>
                      </w:r>
                      <w:r>
                        <w:rPr>
                          <w:color w:val="auto"/>
                        </w:rPr>
                        <w:t xml:space="preserve">richtseinheit behandelter fachwissenschaftlicher Bereiche, vorzugsweise als Gruppenarbeit. Die SuS müssen zum genauen Beobachten angehalten werden, um das sich bildende flüssige Wasser zu beobachten. Lebensweltlich kann das Funktionsprinzip des Schlittschuhs erläutert werden.  </w:t>
                      </w:r>
                    </w:p>
                  </w:txbxContent>
                </v:textbox>
                <w10:anchorlock/>
              </v:shape>
            </w:pict>
          </mc:Fallback>
        </mc:AlternateContent>
      </w:r>
    </w:p>
    <w:p w:rsidR="00BE6DD9" w:rsidRPr="005B782E" w:rsidRDefault="00BE6DD9" w:rsidP="005B782E"/>
    <w:sectPr w:rsidR="00BE6DD9" w:rsidRPr="005B782E" w:rsidSect="00105256">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118" w:rsidRDefault="001E6118" w:rsidP="009524CC">
      <w:pPr>
        <w:spacing w:after="0"/>
      </w:pPr>
      <w:r>
        <w:separator/>
      </w:r>
    </w:p>
  </w:endnote>
  <w:endnote w:type="continuationSeparator" w:id="0">
    <w:p w:rsidR="001E6118" w:rsidRDefault="001E6118"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118" w:rsidRDefault="001E6118" w:rsidP="009524CC">
      <w:pPr>
        <w:spacing w:after="0"/>
      </w:pPr>
      <w:r>
        <w:separator/>
      </w:r>
    </w:p>
  </w:footnote>
  <w:footnote w:type="continuationSeparator" w:id="0">
    <w:p w:rsidR="001E6118" w:rsidRDefault="001E6118"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5B782E" w:rsidRPr="005B782E">
            <w:rPr>
              <w:b/>
              <w:bCs/>
              <w:noProof/>
              <w:sz w:val="20"/>
              <w:szCs w:val="20"/>
            </w:rPr>
            <w:t xml:space="preserve">V 2 – „Draht gleitet ohne Schaden durch </w:t>
          </w:r>
          <w:r w:rsidR="005B782E">
            <w:rPr>
              <w:noProof/>
              <w:sz w:val="20"/>
              <w:szCs w:val="20"/>
            </w:rPr>
            <w:t>einen Eisblock“</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5B782E">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6118"/>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82E"/>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1755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57261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 w:id="154451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0FBE7-D546-4983-AD99-93C319A20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1170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2013-07-08T14:08:00Z</dcterms:created>
  <dcterms:modified xsi:type="dcterms:W3CDTF">2013-07-08T14:08:00Z</dcterms:modified>
</cp:coreProperties>
</file>