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80" w:rsidRPr="005A6580" w:rsidRDefault="005A6580" w:rsidP="005A6580">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0" w:name="_Toc488739610"/>
      <w:r w:rsidRPr="005A6580">
        <w:rPr>
          <w:rFonts w:ascii="Cambria" w:eastAsia="MS Gothic" w:hAnsi="Cambria" w:cs="Times New Roman"/>
          <w:b/>
          <w:bCs/>
          <w:szCs w:val="26"/>
        </w:rPr>
        <w:t>V4 – Der Eier Fahrstuhl</w:t>
      </w:r>
      <w:bookmarkEnd w:id="0"/>
    </w:p>
    <w:p w:rsidR="005A6580" w:rsidRPr="005A6580" w:rsidRDefault="005A6580" w:rsidP="005A6580">
      <w:pPr>
        <w:spacing w:after="0" w:line="360" w:lineRule="auto"/>
        <w:contextualSpacing/>
        <w:jc w:val="both"/>
        <w:rPr>
          <w:rFonts w:ascii="Cambria" w:eastAsia="Calibri" w:hAnsi="Cambria" w:cs="Arial"/>
          <w:i/>
        </w:rPr>
      </w:pPr>
      <w:r w:rsidRPr="005A6580">
        <w:rPr>
          <w:rFonts w:ascii="Cambria" w:eastAsia="Calibri" w:hAnsi="Cambria" w:cs="Arial"/>
          <w:i/>
        </w:rPr>
        <w:t xml:space="preserve">Dieser Versuch dient der Festigung des bereits erworbenen Wissens über die Dichte. Besonders gut kann mit diesem Versuch die Experimentierkompetenz geschult werden, da hier ein genaues Arbeiten und Beobachten notwendig ist. </w:t>
      </w:r>
    </w:p>
    <w:p w:rsidR="005A6580" w:rsidRPr="005A6580" w:rsidRDefault="005A6580" w:rsidP="005A6580">
      <w:pPr>
        <w:spacing w:after="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A6580" w:rsidRPr="005A6580" w:rsidTr="00505EAD">
        <w:tc>
          <w:tcPr>
            <w:tcW w:w="9322" w:type="dxa"/>
            <w:gridSpan w:val="9"/>
            <w:shd w:val="clear" w:color="auto" w:fill="4F81BD"/>
            <w:vAlign w:val="center"/>
          </w:tcPr>
          <w:p w:rsidR="005A6580" w:rsidRPr="005A6580" w:rsidRDefault="005A6580" w:rsidP="005A6580">
            <w:pPr>
              <w:widowControl w:val="0"/>
              <w:spacing w:after="0" w:line="360" w:lineRule="auto"/>
              <w:contextualSpacing/>
              <w:jc w:val="both"/>
              <w:rPr>
                <w:rFonts w:ascii="Cambria" w:eastAsia="Calibri" w:hAnsi="Cambria" w:cs="Arial"/>
                <w:b/>
                <w:bCs/>
                <w:color w:val="FFFFFF"/>
              </w:rPr>
            </w:pPr>
            <w:r w:rsidRPr="005A6580">
              <w:rPr>
                <w:rFonts w:ascii="Cambria" w:eastAsia="Calibri" w:hAnsi="Cambria" w:cs="Arial"/>
                <w:b/>
                <w:bCs/>
                <w:color w:val="FFFFFF"/>
              </w:rPr>
              <w:t>Gefahrenstoffe</w:t>
            </w:r>
          </w:p>
        </w:tc>
      </w:tr>
      <w:tr w:rsidR="005A6580" w:rsidRPr="005A6580"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b/>
                <w:bCs/>
                <w:color w:val="1D1B11"/>
              </w:rPr>
            </w:pPr>
            <w:r w:rsidRPr="005A6580">
              <w:rPr>
                <w:rFonts w:ascii="Cambria" w:eastAsia="Calibri" w:hAnsi="Cambria" w:cs="Arial"/>
                <w:color w:val="1D1B11"/>
                <w:sz w:val="20"/>
              </w:rPr>
              <w:t>Wasser</w:t>
            </w:r>
          </w:p>
        </w:tc>
        <w:tc>
          <w:tcPr>
            <w:tcW w:w="3177" w:type="dxa"/>
            <w:gridSpan w:val="3"/>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center"/>
              <w:rPr>
                <w:rFonts w:ascii="Cambria" w:eastAsia="Calibri" w:hAnsi="Cambria" w:cs="Arial"/>
                <w:color w:val="1D1B11"/>
              </w:rPr>
            </w:pPr>
            <w:r w:rsidRPr="005A6580">
              <w:rPr>
                <w:rFonts w:ascii="Cambria" w:eastAsia="Calibri" w:hAnsi="Cambria" w:cs="Arial"/>
                <w:color w:val="1D1B11"/>
                <w:sz w:val="20"/>
              </w:rPr>
              <w:t xml:space="preserve">H: </w:t>
            </w:r>
            <w:r w:rsidRPr="005A6580">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A6580" w:rsidRPr="005A6580" w:rsidRDefault="005A6580" w:rsidP="005A6580">
            <w:pPr>
              <w:widowControl w:val="0"/>
              <w:spacing w:after="0" w:line="360" w:lineRule="auto"/>
              <w:contextualSpacing/>
              <w:jc w:val="center"/>
              <w:rPr>
                <w:rFonts w:ascii="Cambria" w:eastAsia="Calibri" w:hAnsi="Cambria" w:cs="Arial"/>
                <w:color w:val="1D1B11"/>
              </w:rPr>
            </w:pPr>
            <w:r w:rsidRPr="005A6580">
              <w:rPr>
                <w:rFonts w:ascii="Cambria" w:eastAsia="Calibri" w:hAnsi="Cambria" w:cs="Arial"/>
                <w:color w:val="1D1B11"/>
                <w:sz w:val="20"/>
              </w:rPr>
              <w:t xml:space="preserve">P: </w:t>
            </w:r>
            <w:r w:rsidRPr="005A6580">
              <w:rPr>
                <w:rFonts w:ascii="Cambria" w:eastAsia="Calibri" w:hAnsi="Cambria" w:cs="Arial"/>
                <w:color w:val="1D1B11"/>
              </w:rPr>
              <w:t>-</w:t>
            </w:r>
          </w:p>
        </w:tc>
      </w:tr>
      <w:tr w:rsidR="005A6580" w:rsidRPr="005A6580"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sz w:val="20"/>
              </w:rPr>
            </w:pPr>
            <w:r w:rsidRPr="005A6580">
              <w:rPr>
                <w:rFonts w:ascii="Cambria" w:eastAsia="Calibri" w:hAnsi="Cambria" w:cs="Arial"/>
                <w:color w:val="1D1B11"/>
                <w:sz w:val="20"/>
              </w:rPr>
              <w:t>Haushaltszucker</w:t>
            </w:r>
          </w:p>
        </w:tc>
        <w:tc>
          <w:tcPr>
            <w:tcW w:w="3177" w:type="dxa"/>
            <w:gridSpan w:val="3"/>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center"/>
              <w:rPr>
                <w:rFonts w:ascii="Cambria" w:eastAsia="Calibri" w:hAnsi="Cambria" w:cs="Arial"/>
                <w:color w:val="1D1B11"/>
                <w:sz w:val="20"/>
              </w:rPr>
            </w:pPr>
            <w:r w:rsidRPr="005A6580">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A6580" w:rsidRPr="005A6580" w:rsidRDefault="005A6580" w:rsidP="005A6580">
            <w:pPr>
              <w:widowControl w:val="0"/>
              <w:spacing w:after="0" w:line="360" w:lineRule="auto"/>
              <w:contextualSpacing/>
              <w:jc w:val="center"/>
              <w:rPr>
                <w:rFonts w:ascii="Cambria" w:eastAsia="Calibri" w:hAnsi="Cambria" w:cs="Arial"/>
                <w:color w:val="1D1B11"/>
                <w:sz w:val="20"/>
              </w:rPr>
            </w:pPr>
            <w:r w:rsidRPr="005A6580">
              <w:rPr>
                <w:rFonts w:ascii="Cambria" w:eastAsia="Calibri" w:hAnsi="Cambria" w:cs="Arial"/>
                <w:color w:val="1D1B11"/>
                <w:sz w:val="20"/>
              </w:rPr>
              <w:t>P: -</w:t>
            </w:r>
          </w:p>
        </w:tc>
      </w:tr>
      <w:tr w:rsidR="005A6580" w:rsidRPr="005A6580" w:rsidTr="00505EAD">
        <w:tc>
          <w:tcPr>
            <w:tcW w:w="1009" w:type="dxa"/>
            <w:tcBorders>
              <w:top w:val="single" w:sz="8" w:space="0" w:color="4F81BD"/>
              <w:left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b/>
                <w:bCs/>
                <w:color w:val="1D1B11"/>
              </w:rPr>
            </w:pPr>
            <w:r w:rsidRPr="005A6580">
              <w:rPr>
                <w:rFonts w:ascii="Cambria" w:eastAsia="Calibri" w:hAnsi="Cambria" w:cs="Arial"/>
                <w:b/>
                <w:bCs/>
                <w:noProof/>
                <w:color w:val="1D1B11"/>
                <w:lang w:eastAsia="de-DE"/>
              </w:rPr>
              <w:drawing>
                <wp:inline distT="0" distB="0" distL="0" distR="0" wp14:anchorId="15520E81" wp14:editId="0803333F">
                  <wp:extent cx="540000" cy="540000"/>
                  <wp:effectExtent l="0" t="0" r="0" b="0"/>
                  <wp:docPr id="25" name="Grafik 25"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rPr>
            </w:pPr>
            <w:r w:rsidRPr="005A6580">
              <w:rPr>
                <w:rFonts w:ascii="Cambria" w:eastAsia="Calibri" w:hAnsi="Cambria" w:cs="Arial"/>
                <w:noProof/>
                <w:color w:val="1D1B11"/>
                <w:lang w:eastAsia="de-DE"/>
              </w:rPr>
              <w:drawing>
                <wp:inline distT="0" distB="0" distL="0" distR="0" wp14:anchorId="7DD1BD31" wp14:editId="725401AD">
                  <wp:extent cx="540000" cy="540000"/>
                  <wp:effectExtent l="0" t="0" r="0" b="0"/>
                  <wp:docPr id="26" name="Grafik 26"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rPr>
            </w:pPr>
            <w:r w:rsidRPr="005A6580">
              <w:rPr>
                <w:rFonts w:ascii="Cambria" w:eastAsia="Calibri" w:hAnsi="Cambria" w:cs="Arial"/>
                <w:noProof/>
                <w:color w:val="1D1B11"/>
                <w:lang w:eastAsia="de-DE"/>
              </w:rPr>
              <w:drawing>
                <wp:inline distT="0" distB="0" distL="0" distR="0" wp14:anchorId="1BD133E0" wp14:editId="43BFCCC0">
                  <wp:extent cx="540000" cy="540000"/>
                  <wp:effectExtent l="0" t="0" r="0" b="0"/>
                  <wp:docPr id="27" name="Grafik 27"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rPr>
            </w:pPr>
            <w:r w:rsidRPr="005A6580">
              <w:rPr>
                <w:rFonts w:ascii="Cambria" w:eastAsia="Calibri" w:hAnsi="Cambria" w:cs="Arial"/>
                <w:noProof/>
                <w:color w:val="1D1B11"/>
                <w:lang w:eastAsia="de-DE"/>
              </w:rPr>
              <w:drawing>
                <wp:inline distT="0" distB="0" distL="0" distR="0" wp14:anchorId="301EBA51" wp14:editId="25DE83BA">
                  <wp:extent cx="540000" cy="540000"/>
                  <wp:effectExtent l="0" t="0" r="0" b="0"/>
                  <wp:docPr id="28" name="Grafik 28"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rPr>
            </w:pPr>
            <w:r w:rsidRPr="005A6580">
              <w:rPr>
                <w:rFonts w:ascii="Cambria" w:eastAsia="Calibri" w:hAnsi="Cambria" w:cs="Arial"/>
                <w:noProof/>
                <w:color w:val="1D1B11"/>
                <w:lang w:eastAsia="de-DE"/>
              </w:rPr>
              <w:drawing>
                <wp:inline distT="0" distB="0" distL="0" distR="0" wp14:anchorId="6470494A" wp14:editId="42B88A1A">
                  <wp:extent cx="540000" cy="540000"/>
                  <wp:effectExtent l="0" t="0" r="0" b="0"/>
                  <wp:docPr id="43" name="Grafik 43"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rPr>
            </w:pPr>
            <w:r w:rsidRPr="005A6580">
              <w:rPr>
                <w:rFonts w:ascii="Cambria" w:eastAsia="Calibri" w:hAnsi="Cambria" w:cs="Arial"/>
                <w:noProof/>
                <w:color w:val="1D1B11"/>
                <w:lang w:eastAsia="de-DE"/>
              </w:rPr>
              <w:drawing>
                <wp:inline distT="0" distB="0" distL="0" distR="0" wp14:anchorId="3C96E8B4" wp14:editId="046A1264">
                  <wp:extent cx="540000" cy="540000"/>
                  <wp:effectExtent l="0" t="0" r="0" b="0"/>
                  <wp:docPr id="44" name="Grafik 4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rPr>
            </w:pPr>
            <w:r w:rsidRPr="005A6580">
              <w:rPr>
                <w:rFonts w:ascii="Cambria" w:eastAsia="Calibri" w:hAnsi="Cambria" w:cs="Arial"/>
                <w:noProof/>
                <w:color w:val="1D1B11"/>
                <w:lang w:eastAsia="de-DE"/>
              </w:rPr>
              <w:drawing>
                <wp:inline distT="0" distB="0" distL="0" distR="0" wp14:anchorId="7450475D" wp14:editId="46CEAE1A">
                  <wp:extent cx="540000" cy="540000"/>
                  <wp:effectExtent l="0" t="0" r="0" b="0"/>
                  <wp:docPr id="45" name="Grafik 4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rPr>
            </w:pPr>
            <w:r w:rsidRPr="005A6580">
              <w:rPr>
                <w:rFonts w:ascii="Cambria" w:eastAsia="Calibri" w:hAnsi="Cambria" w:cs="Arial"/>
                <w:noProof/>
                <w:color w:val="1D1B11"/>
                <w:lang w:eastAsia="de-DE"/>
              </w:rPr>
              <w:drawing>
                <wp:inline distT="0" distB="0" distL="0" distR="0" wp14:anchorId="01F9E3E8" wp14:editId="6AA8E131">
                  <wp:extent cx="540000" cy="540000"/>
                  <wp:effectExtent l="0" t="0" r="0" b="0"/>
                  <wp:docPr id="46" name="Grafik 4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A6580" w:rsidRPr="005A6580" w:rsidRDefault="005A6580" w:rsidP="005A6580">
            <w:pPr>
              <w:widowControl w:val="0"/>
              <w:spacing w:after="0" w:line="360" w:lineRule="auto"/>
              <w:contextualSpacing/>
              <w:jc w:val="both"/>
              <w:rPr>
                <w:rFonts w:ascii="Cambria" w:eastAsia="Calibri" w:hAnsi="Cambria" w:cs="Arial"/>
                <w:color w:val="1D1B11"/>
              </w:rPr>
            </w:pPr>
            <w:r w:rsidRPr="005A6580">
              <w:rPr>
                <w:rFonts w:ascii="Cambria" w:eastAsia="Calibri" w:hAnsi="Cambria" w:cs="Arial"/>
                <w:noProof/>
                <w:color w:val="1D1B11"/>
                <w:lang w:eastAsia="de-DE"/>
              </w:rPr>
              <w:drawing>
                <wp:inline distT="0" distB="0" distL="0" distR="0" wp14:anchorId="6BD4118E" wp14:editId="41B275FD">
                  <wp:extent cx="540000" cy="540000"/>
                  <wp:effectExtent l="0" t="0" r="0" b="0"/>
                  <wp:docPr id="47" name="Grafik 4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5A6580" w:rsidRPr="005A6580" w:rsidRDefault="005A6580" w:rsidP="005A6580">
      <w:pPr>
        <w:tabs>
          <w:tab w:val="left" w:pos="1701"/>
          <w:tab w:val="left" w:pos="1985"/>
        </w:tabs>
        <w:spacing w:after="0" w:line="360" w:lineRule="auto"/>
        <w:ind w:left="1980" w:hanging="1980"/>
        <w:contextualSpacing/>
        <w:jc w:val="both"/>
        <w:rPr>
          <w:rFonts w:ascii="Cambria" w:eastAsia="Calibri" w:hAnsi="Cambria" w:cs="Arial"/>
          <w:color w:val="1D1B11"/>
        </w:rPr>
      </w:pPr>
    </w:p>
    <w:p w:rsidR="005A6580" w:rsidRPr="005A6580" w:rsidRDefault="005A6580" w:rsidP="005A6580">
      <w:pPr>
        <w:spacing w:after="0" w:line="360" w:lineRule="auto"/>
        <w:ind w:left="1701" w:hanging="1701"/>
        <w:contextualSpacing/>
        <w:jc w:val="both"/>
        <w:rPr>
          <w:rFonts w:ascii="Cambria" w:eastAsia="Calibri" w:hAnsi="Cambria" w:cs="Arial"/>
          <w:b/>
          <w:color w:val="1D1B11"/>
        </w:rPr>
      </w:pPr>
      <w:r w:rsidRPr="005A6580">
        <w:rPr>
          <w:rFonts w:ascii="Cambria" w:eastAsia="Calibri" w:hAnsi="Cambria" w:cs="Arial"/>
          <w:b/>
          <w:color w:val="1D1B11"/>
        </w:rPr>
        <w:t>Materialien:</w:t>
      </w:r>
    </w:p>
    <w:p w:rsidR="005A6580" w:rsidRPr="005A6580" w:rsidRDefault="005A6580" w:rsidP="005A6580">
      <w:pPr>
        <w:spacing w:after="0" w:line="360" w:lineRule="auto"/>
        <w:ind w:left="1701" w:hanging="1701"/>
        <w:contextualSpacing/>
        <w:jc w:val="both"/>
        <w:rPr>
          <w:rFonts w:ascii="Cambria" w:eastAsia="Calibri" w:hAnsi="Cambria" w:cs="Arial"/>
          <w:color w:val="1D1B11"/>
        </w:rPr>
      </w:pPr>
      <w:r w:rsidRPr="005A6580">
        <w:rPr>
          <w:rFonts w:ascii="Cambria" w:eastAsia="Calibri" w:hAnsi="Cambria" w:cs="Arial"/>
          <w:color w:val="1D1B11"/>
        </w:rPr>
        <w:t>1 Becherglas (1 L), 1 Ei (ungekocht)</w:t>
      </w:r>
    </w:p>
    <w:p w:rsidR="005A6580" w:rsidRPr="005A6580" w:rsidRDefault="005A6580" w:rsidP="005A6580">
      <w:pPr>
        <w:spacing w:after="0" w:line="360" w:lineRule="auto"/>
        <w:contextualSpacing/>
        <w:jc w:val="both"/>
        <w:rPr>
          <w:rFonts w:ascii="Cambria" w:eastAsia="Calibri" w:hAnsi="Cambria" w:cs="Arial"/>
          <w:color w:val="1D1B11"/>
        </w:rPr>
      </w:pPr>
    </w:p>
    <w:p w:rsidR="005A6580" w:rsidRPr="005A6580" w:rsidRDefault="005A6580" w:rsidP="005A6580">
      <w:pPr>
        <w:spacing w:after="0" w:line="360" w:lineRule="auto"/>
        <w:ind w:left="1701" w:hanging="1701"/>
        <w:contextualSpacing/>
        <w:jc w:val="both"/>
        <w:rPr>
          <w:rFonts w:ascii="Cambria" w:eastAsia="Calibri" w:hAnsi="Cambria" w:cs="Arial"/>
          <w:b/>
          <w:color w:val="1D1B11"/>
        </w:rPr>
      </w:pPr>
      <w:r w:rsidRPr="005A6580">
        <w:rPr>
          <w:rFonts w:ascii="Cambria" w:eastAsia="Calibri" w:hAnsi="Cambria" w:cs="Arial"/>
          <w:b/>
          <w:color w:val="1D1B11"/>
        </w:rPr>
        <w:t>Chemikalien:</w:t>
      </w:r>
    </w:p>
    <w:p w:rsidR="005A6580" w:rsidRPr="005A6580" w:rsidRDefault="005A6580" w:rsidP="005A6580">
      <w:pPr>
        <w:spacing w:after="0" w:line="360" w:lineRule="auto"/>
        <w:ind w:left="1701" w:hanging="1701"/>
        <w:contextualSpacing/>
        <w:jc w:val="both"/>
        <w:rPr>
          <w:rFonts w:ascii="Cambria" w:eastAsia="Calibri" w:hAnsi="Cambria" w:cs="Arial"/>
          <w:color w:val="1D1B11"/>
        </w:rPr>
      </w:pPr>
      <w:r w:rsidRPr="005A6580">
        <w:rPr>
          <w:rFonts w:ascii="Cambria" w:eastAsia="Calibri" w:hAnsi="Cambria" w:cs="Arial"/>
          <w:color w:val="1D1B11"/>
        </w:rPr>
        <w:t>Kochsalz, Haushaltszucker, Wasser</w:t>
      </w:r>
    </w:p>
    <w:p w:rsidR="005A6580" w:rsidRPr="005A6580" w:rsidRDefault="005A6580" w:rsidP="005A6580">
      <w:pPr>
        <w:spacing w:after="0" w:line="360" w:lineRule="auto"/>
        <w:ind w:left="1701" w:hanging="1701"/>
        <w:contextualSpacing/>
        <w:jc w:val="both"/>
        <w:rPr>
          <w:rFonts w:ascii="Cambria" w:eastAsia="Calibri" w:hAnsi="Cambria" w:cs="Arial"/>
          <w:color w:val="1D1B11"/>
        </w:rPr>
      </w:pPr>
    </w:p>
    <w:p w:rsidR="005A6580" w:rsidRPr="005A6580" w:rsidRDefault="005A6580" w:rsidP="005A6580">
      <w:pPr>
        <w:spacing w:after="0" w:line="360" w:lineRule="auto"/>
        <w:ind w:left="1701" w:hanging="1701"/>
        <w:contextualSpacing/>
        <w:jc w:val="both"/>
        <w:rPr>
          <w:rFonts w:ascii="Cambria" w:eastAsia="Calibri" w:hAnsi="Cambria" w:cs="Arial"/>
          <w:b/>
          <w:color w:val="1D1B11"/>
        </w:rPr>
      </w:pPr>
      <w:r w:rsidRPr="005A6580">
        <w:rPr>
          <w:rFonts w:ascii="Cambria" w:eastAsia="Calibri" w:hAnsi="Cambria" w:cs="Arial"/>
          <w:b/>
          <w:color w:val="1D1B11"/>
        </w:rPr>
        <w:t>Durchführung:</w:t>
      </w:r>
    </w:p>
    <w:p w:rsidR="005A6580" w:rsidRPr="005A6580" w:rsidRDefault="005A6580" w:rsidP="005A6580">
      <w:pPr>
        <w:spacing w:after="0" w:line="360" w:lineRule="auto"/>
        <w:contextualSpacing/>
        <w:jc w:val="both"/>
        <w:rPr>
          <w:rFonts w:ascii="Cambria" w:eastAsia="Calibri" w:hAnsi="Cambria" w:cs="Arial"/>
          <w:color w:val="1D1B11"/>
        </w:rPr>
      </w:pPr>
      <w:r w:rsidRPr="005A6580">
        <w:rPr>
          <w:rFonts w:ascii="Cambria" w:eastAsia="Calibri" w:hAnsi="Cambria" w:cs="Arial"/>
          <w:color w:val="1D1B11"/>
        </w:rPr>
        <w:t>Das Becherglas wird mit Wasser befüllt. Anschließend wird Zucker in dem Wasser gelöst. Es muss so viel Zucker verwendet werden, dass das Ei schwimmt. Ist genug Zucker im Wasser gelöst wird das Ei in das Wasser gelegt. Nun wird mit einer Pipette vorsichtig Wasser hinzugegeben.</w:t>
      </w:r>
    </w:p>
    <w:p w:rsidR="005A6580" w:rsidRPr="005A6580" w:rsidRDefault="005A6580" w:rsidP="005A6580">
      <w:pPr>
        <w:spacing w:after="0" w:line="360" w:lineRule="auto"/>
        <w:contextualSpacing/>
        <w:jc w:val="both"/>
        <w:rPr>
          <w:rFonts w:ascii="Cambria" w:eastAsia="Calibri" w:hAnsi="Cambria" w:cs="Arial"/>
          <w:color w:val="1D1B11"/>
        </w:rPr>
      </w:pPr>
    </w:p>
    <w:p w:rsidR="005A6580" w:rsidRPr="005A6580" w:rsidRDefault="005A6580" w:rsidP="005A6580">
      <w:pPr>
        <w:spacing w:after="0" w:line="360" w:lineRule="auto"/>
        <w:ind w:left="1701" w:hanging="1701"/>
        <w:contextualSpacing/>
        <w:jc w:val="both"/>
        <w:rPr>
          <w:rFonts w:ascii="Cambria" w:eastAsia="Calibri" w:hAnsi="Cambria" w:cs="Arial"/>
          <w:b/>
          <w:color w:val="1D1B11"/>
        </w:rPr>
      </w:pPr>
      <w:r w:rsidRPr="005A6580">
        <w:rPr>
          <w:rFonts w:ascii="Cambria" w:eastAsia="Calibri" w:hAnsi="Cambria" w:cs="Arial"/>
          <w:b/>
          <w:color w:val="1D1B11"/>
        </w:rPr>
        <w:t>Beobachtung:</w:t>
      </w:r>
    </w:p>
    <w:p w:rsidR="005A6580" w:rsidRPr="005A6580" w:rsidRDefault="005A6580" w:rsidP="005A6580">
      <w:pPr>
        <w:spacing w:after="0" w:line="360" w:lineRule="auto"/>
        <w:contextualSpacing/>
        <w:jc w:val="both"/>
        <w:rPr>
          <w:rFonts w:ascii="Cambria" w:eastAsia="Calibri" w:hAnsi="Cambria" w:cs="Arial"/>
          <w:color w:val="1D1B11"/>
        </w:rPr>
      </w:pPr>
      <w:r w:rsidRPr="005A6580">
        <w:rPr>
          <w:rFonts w:ascii="Cambria" w:eastAsia="Calibri" w:hAnsi="Cambria" w:cs="Arial"/>
          <w:color w:val="1D1B11"/>
        </w:rPr>
        <w:t xml:space="preserve">Zu Beginn schwimmt das Ei an der Oberfläche des Zuckerwassers. Wird nun weiter Wasser hinzugegeben, sinkt das Ei langsam ab. Das Ei schwebt zunächst im Wasser. Wird dann weiter Wasser hinzugegeben sinkt das Ei zu Boden. </w:t>
      </w:r>
    </w:p>
    <w:p w:rsidR="005A6580" w:rsidRPr="005A6580" w:rsidRDefault="005A6580" w:rsidP="005A6580">
      <w:pPr>
        <w:spacing w:after="0" w:line="360" w:lineRule="auto"/>
        <w:contextualSpacing/>
        <w:jc w:val="both"/>
        <w:rPr>
          <w:rFonts w:ascii="Cambria" w:eastAsia="Calibri" w:hAnsi="Cambria" w:cs="Arial"/>
          <w:color w:val="1D1B11"/>
        </w:rPr>
      </w:pPr>
    </w:p>
    <w:p w:rsidR="005A6580" w:rsidRPr="005A6580" w:rsidRDefault="005A6580" w:rsidP="005A6580">
      <w:pPr>
        <w:spacing w:after="0" w:line="360" w:lineRule="auto"/>
        <w:ind w:left="1701" w:hanging="1701"/>
        <w:contextualSpacing/>
        <w:jc w:val="both"/>
        <w:rPr>
          <w:rFonts w:ascii="Cambria" w:eastAsia="Calibri" w:hAnsi="Cambria" w:cs="Arial"/>
          <w:b/>
          <w:color w:val="1D1B11"/>
        </w:rPr>
      </w:pPr>
      <w:r w:rsidRPr="005A6580">
        <w:rPr>
          <w:rFonts w:ascii="Cambria" w:eastAsia="Calibri" w:hAnsi="Cambria" w:cs="Arial"/>
          <w:b/>
          <w:color w:val="1D1B11"/>
        </w:rPr>
        <w:t>Deutung:</w:t>
      </w:r>
    </w:p>
    <w:p w:rsidR="005A6580" w:rsidRPr="005A6580" w:rsidRDefault="005A6580" w:rsidP="005A6580">
      <w:pPr>
        <w:spacing w:after="0" w:line="360" w:lineRule="auto"/>
        <w:contextualSpacing/>
        <w:jc w:val="both"/>
        <w:rPr>
          <w:rFonts w:ascii="Cambria" w:eastAsia="Calibri" w:hAnsi="Cambria" w:cs="Arial"/>
          <w:color w:val="1D1B11"/>
        </w:rPr>
      </w:pPr>
      <w:r w:rsidRPr="005A6580">
        <w:rPr>
          <w:rFonts w:ascii="Cambria" w:eastAsia="Calibri" w:hAnsi="Cambria" w:cs="Arial"/>
          <w:color w:val="1D1B11"/>
        </w:rPr>
        <w:t xml:space="preserve">Beim Lösen von Zucker in Wasser, bilden sich zwischen den -OH-Gruppen des Zuckers und den Wassermolekülen Wasserstoffbrückenbindungen aus. Durch die Anordnung steigt dann auch die Dichte des Zuckerwassers. Durch die Zugabe von Leitungswasser bilden sich vermehrt Wasserstoffbrückenbindungen zwischen Wassermolekülen aus, wodurch die Dichte wieder sinkt. </w:t>
      </w:r>
    </w:p>
    <w:p w:rsidR="005A6580" w:rsidRPr="005A6580" w:rsidRDefault="005A6580" w:rsidP="005A6580">
      <w:pPr>
        <w:spacing w:after="0" w:line="360" w:lineRule="auto"/>
        <w:contextualSpacing/>
        <w:jc w:val="both"/>
        <w:rPr>
          <w:rFonts w:ascii="Cambria" w:eastAsia="Calibri" w:hAnsi="Cambria" w:cs="Arial"/>
          <w:color w:val="1D1B11"/>
        </w:rPr>
      </w:pPr>
      <w:r w:rsidRPr="005A6580">
        <w:rPr>
          <w:rFonts w:ascii="Cambria" w:eastAsia="Calibri" w:hAnsi="Cambria" w:cs="Arial"/>
          <w:color w:val="1D1B11"/>
        </w:rPr>
        <w:t xml:space="preserve">Der Versuch zeigt, dass die Dichte von Zuckerwasser größer ist, als die Dichte des Eis, wodurch dieses an der Oberfläche schwimmt. Durch die Zugabe von Leitungswasser wird die Dichte des Zuckerwassers herabgesetzt. Entspricht die Dichte des Zuckerwassers genau der Dichte, die auch </w:t>
      </w:r>
      <w:r w:rsidRPr="005A6580">
        <w:rPr>
          <w:rFonts w:ascii="Cambria" w:eastAsia="Calibri" w:hAnsi="Cambria" w:cs="Arial"/>
          <w:color w:val="1D1B11"/>
        </w:rPr>
        <w:lastRenderedPageBreak/>
        <w:t xml:space="preserve">das Ei hat, schwebt das Ei im Zuckerwasser. Wird weiter Leitungswasser zugegeben sinkt die Dichte des Zuckerwassers immer weiter. Die Dichte des Zuckerwassers wird dann geringer als die des Eis, wodurch das Ei dann auf den Boden des Becherglases sinkt. </w:t>
      </w:r>
    </w:p>
    <w:p w:rsidR="005A6580" w:rsidRPr="005A6580" w:rsidRDefault="005A6580" w:rsidP="005A6580">
      <w:pPr>
        <w:tabs>
          <w:tab w:val="left" w:pos="1701"/>
          <w:tab w:val="left" w:pos="1985"/>
        </w:tabs>
        <w:spacing w:after="0" w:line="360" w:lineRule="auto"/>
        <w:contextualSpacing/>
        <w:jc w:val="both"/>
        <w:rPr>
          <w:rFonts w:ascii="Cambria" w:eastAsia="MS Mincho" w:hAnsi="Cambria" w:cs="Arial"/>
          <w:color w:val="1D1B11"/>
        </w:rPr>
      </w:pPr>
    </w:p>
    <w:p w:rsidR="005A6580" w:rsidRPr="005A6580" w:rsidRDefault="005A6580" w:rsidP="005A6580">
      <w:pPr>
        <w:spacing w:after="0" w:line="360" w:lineRule="auto"/>
        <w:ind w:left="1701" w:hanging="1701"/>
        <w:contextualSpacing/>
        <w:jc w:val="both"/>
        <w:rPr>
          <w:rFonts w:ascii="Cambria" w:eastAsia="Calibri" w:hAnsi="Cambria" w:cs="Arial"/>
          <w:b/>
          <w:color w:val="1D1B11"/>
        </w:rPr>
      </w:pPr>
      <w:r w:rsidRPr="005A6580">
        <w:rPr>
          <w:rFonts w:ascii="Cambria" w:eastAsia="Calibri" w:hAnsi="Cambria" w:cs="Arial"/>
          <w:b/>
          <w:color w:val="1D1B11"/>
        </w:rPr>
        <w:t>Entsorgung:</w:t>
      </w:r>
    </w:p>
    <w:p w:rsidR="005A6580" w:rsidRPr="005A6580" w:rsidRDefault="005A6580" w:rsidP="005A6580">
      <w:pPr>
        <w:spacing w:after="0" w:line="360" w:lineRule="auto"/>
        <w:contextualSpacing/>
        <w:jc w:val="both"/>
        <w:rPr>
          <w:rFonts w:ascii="Cambria" w:eastAsia="Calibri" w:hAnsi="Cambria" w:cs="Arial"/>
          <w:color w:val="1D1B11"/>
        </w:rPr>
      </w:pPr>
      <w:r w:rsidRPr="005A6580">
        <w:rPr>
          <w:rFonts w:ascii="Cambria" w:eastAsia="Calibri" w:hAnsi="Cambria" w:cs="Arial"/>
          <w:color w:val="1D1B11"/>
        </w:rPr>
        <w:t>Alle Flüssigkeiten können über den Ausguss entsorgt werden. Das Ei kann über den Hausmüll entsorgt werden</w:t>
      </w:r>
    </w:p>
    <w:p w:rsidR="005A6580" w:rsidRPr="005A6580" w:rsidRDefault="005A6580" w:rsidP="005A6580">
      <w:pPr>
        <w:spacing w:after="0" w:line="360" w:lineRule="auto"/>
        <w:contextualSpacing/>
        <w:jc w:val="both"/>
        <w:rPr>
          <w:rFonts w:ascii="Cambria" w:eastAsia="Calibri" w:hAnsi="Cambria" w:cs="Arial"/>
          <w:color w:val="1D1B11"/>
        </w:rPr>
      </w:pPr>
      <w:bookmarkStart w:id="1" w:name="_GoBack"/>
      <w:bookmarkEnd w:id="1"/>
    </w:p>
    <w:p w:rsidR="005A6580" w:rsidRPr="005A6580" w:rsidRDefault="005A6580" w:rsidP="005A6580">
      <w:pPr>
        <w:spacing w:after="0" w:line="360" w:lineRule="auto"/>
        <w:contextualSpacing/>
        <w:jc w:val="both"/>
        <w:rPr>
          <w:rFonts w:ascii="Cambria" w:eastAsia="Calibri" w:hAnsi="Cambria" w:cs="Arial"/>
          <w:b/>
        </w:rPr>
      </w:pPr>
      <w:r w:rsidRPr="005A6580">
        <w:rPr>
          <w:rFonts w:ascii="Cambria" w:eastAsia="Calibri" w:hAnsi="Cambria" w:cs="Arial"/>
          <w:b/>
        </w:rPr>
        <w:t xml:space="preserve">Unterrichtsanschlüsse: </w:t>
      </w:r>
    </w:p>
    <w:p w:rsidR="005A6580" w:rsidRPr="005A6580" w:rsidRDefault="005A6580" w:rsidP="005A6580">
      <w:pPr>
        <w:spacing w:after="0" w:line="360" w:lineRule="auto"/>
        <w:contextualSpacing/>
        <w:jc w:val="both"/>
        <w:rPr>
          <w:rFonts w:ascii="Cambria" w:eastAsia="Calibri" w:hAnsi="Cambria" w:cs="Arial"/>
        </w:rPr>
      </w:pPr>
      <w:r w:rsidRPr="005A6580">
        <w:rPr>
          <w:rFonts w:ascii="Cambria" w:eastAsia="Calibri" w:hAnsi="Cambria" w:cs="Arial"/>
        </w:rPr>
        <w:t xml:space="preserve">Bei diesem Versuch sollte den SuS bereits das Prinzip der Verdünnung bekannt sein. Die SuS haben in dem vorherigen Versuch bereits gelernt, dass Leitungswasser leichter ist als Zuckerwasser. Daher könnte ihnen darüber erklärt werden, dass das Zuckerwasser umso leichter wird, umso mehr Leitungswasser zu dem Zuckerwasser hinzugeben wird. </w:t>
      </w:r>
    </w:p>
    <w:p w:rsidR="009D0F8E" w:rsidRPr="005A6580" w:rsidRDefault="005A6580" w:rsidP="005A6580"/>
    <w:sectPr w:rsidR="009D0F8E" w:rsidRPr="005A6580" w:rsidSect="00A60F2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82AC8"/>
    <w:rsid w:val="00493C20"/>
    <w:rsid w:val="004E374E"/>
    <w:rsid w:val="005A6580"/>
    <w:rsid w:val="005B7623"/>
    <w:rsid w:val="0061061B"/>
    <w:rsid w:val="006F523C"/>
    <w:rsid w:val="0082061E"/>
    <w:rsid w:val="00A60F28"/>
    <w:rsid w:val="00B05D8F"/>
    <w:rsid w:val="00B2567D"/>
    <w:rsid w:val="00B8135D"/>
    <w:rsid w:val="00BF1AAC"/>
    <w:rsid w:val="00DD3538"/>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3A02"/>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3.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s>
</file>

<file path=customXml/itemProps1.xml><?xml version="1.0" encoding="utf-8"?>
<ds:datastoreItem xmlns:ds="http://schemas.openxmlformats.org/officeDocument/2006/customXml" ds:itemID="{E6297306-CBEC-4686-A384-55933421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2</cp:revision>
  <dcterms:created xsi:type="dcterms:W3CDTF">2017-10-05T12:26:00Z</dcterms:created>
  <dcterms:modified xsi:type="dcterms:W3CDTF">2017-10-05T12:26:00Z</dcterms:modified>
</cp:coreProperties>
</file>