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1F2" w:rsidRPr="007531F2" w:rsidRDefault="007531F2" w:rsidP="007531F2">
      <w:pPr>
        <w:widowControl w:val="0"/>
        <w:numPr>
          <w:ilvl w:val="1"/>
          <w:numId w:val="0"/>
        </w:numPr>
        <w:spacing w:before="200" w:after="200" w:line="360" w:lineRule="auto"/>
        <w:ind w:left="576" w:hanging="576"/>
        <w:contextualSpacing/>
        <w:jc w:val="both"/>
        <w:outlineLvl w:val="1"/>
        <w:rPr>
          <w:rFonts w:ascii="Cambria" w:eastAsia="MS Gothic" w:hAnsi="Cambria" w:cs="Times New Roman"/>
          <w:b/>
          <w:bCs/>
          <w:i/>
          <w:szCs w:val="26"/>
        </w:rPr>
      </w:pPr>
      <w:bookmarkStart w:id="0" w:name="_Toc488617216"/>
      <w:r>
        <w:rPr>
          <w:rFonts w:ascii="Cambria" w:eastAsia="MS Gothic" w:hAnsi="Cambria" w:cs="Times New Roman"/>
          <w:b/>
          <w:bCs/>
          <w:color w:val="1D1B11"/>
          <w:szCs w:val="26"/>
        </w:rPr>
        <w:t>V5</w:t>
      </w:r>
      <w:bookmarkStart w:id="1" w:name="_GoBack"/>
      <w:bookmarkEnd w:id="1"/>
      <w:r w:rsidRPr="007531F2">
        <w:rPr>
          <w:rFonts w:ascii="Cambria" w:eastAsia="MS Gothic" w:hAnsi="Cambria" w:cs="Times New Roman"/>
          <w:b/>
          <w:bCs/>
          <w:color w:val="1D1B11"/>
          <w:szCs w:val="26"/>
        </w:rPr>
        <w:t xml:space="preserve"> – </w:t>
      </w:r>
      <w:bookmarkStart w:id="2" w:name="_Toc425776595"/>
      <w:bookmarkEnd w:id="2"/>
      <w:r w:rsidRPr="007531F2">
        <w:rPr>
          <w:rFonts w:ascii="Cambria" w:eastAsia="MS Gothic" w:hAnsi="Cambria" w:cs="Times New Roman"/>
          <w:b/>
          <w:bCs/>
          <w:color w:val="1D1B11"/>
          <w:szCs w:val="26"/>
        </w:rPr>
        <w:t>Der cartesische Taucher</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531F2" w:rsidRPr="007531F2" w:rsidTr="00505EAD">
        <w:tc>
          <w:tcPr>
            <w:tcW w:w="9322" w:type="dxa"/>
            <w:gridSpan w:val="9"/>
            <w:shd w:val="clear" w:color="auto" w:fill="4F81BD"/>
            <w:vAlign w:val="center"/>
          </w:tcPr>
          <w:p w:rsidR="007531F2" w:rsidRPr="007531F2" w:rsidRDefault="007531F2" w:rsidP="007531F2">
            <w:pPr>
              <w:widowControl w:val="0"/>
              <w:spacing w:after="0" w:line="360" w:lineRule="auto"/>
              <w:contextualSpacing/>
              <w:jc w:val="both"/>
              <w:rPr>
                <w:rFonts w:ascii="Cambria" w:eastAsia="Calibri" w:hAnsi="Cambria" w:cs="Times New Roman"/>
                <w:b/>
                <w:bCs/>
                <w:color w:val="FFFFFF"/>
              </w:rPr>
            </w:pPr>
            <w:r w:rsidRPr="007531F2">
              <w:rPr>
                <w:rFonts w:ascii="Cambria" w:eastAsia="Calibri" w:hAnsi="Cambria" w:cs="Times New Roman"/>
                <w:b/>
                <w:bCs/>
                <w:color w:val="FFFFFF"/>
              </w:rPr>
              <w:t>Gefahrenstoffe</w:t>
            </w:r>
          </w:p>
        </w:tc>
      </w:tr>
      <w:tr w:rsidR="007531F2" w:rsidRPr="007531F2" w:rsidTr="00505EAD">
        <w:trPr>
          <w:trHeight w:val="434"/>
        </w:trPr>
        <w:tc>
          <w:tcPr>
            <w:tcW w:w="3027" w:type="dxa"/>
            <w:gridSpan w:val="3"/>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bCs/>
                <w:color w:val="1D1B11"/>
                <w:sz w:val="20"/>
              </w:rPr>
            </w:pPr>
            <w:r w:rsidRPr="007531F2">
              <w:rPr>
                <w:rFonts w:ascii="Cambria" w:eastAsia="Calibri" w:hAnsi="Cambria" w:cs="Times New Roman"/>
                <w:sz w:val="20"/>
                <w:szCs w:val="20"/>
              </w:rPr>
              <w:t>Wasser</w:t>
            </w:r>
          </w:p>
        </w:tc>
        <w:tc>
          <w:tcPr>
            <w:tcW w:w="3177" w:type="dxa"/>
            <w:gridSpan w:val="3"/>
            <w:shd w:val="clear" w:color="auto" w:fill="auto"/>
            <w:vAlign w:val="center"/>
          </w:tcPr>
          <w:p w:rsidR="007531F2" w:rsidRPr="007531F2" w:rsidRDefault="007531F2" w:rsidP="007531F2">
            <w:pPr>
              <w:widowControl w:val="0"/>
              <w:spacing w:after="0" w:line="360" w:lineRule="auto"/>
              <w:contextualSpacing/>
              <w:jc w:val="center"/>
              <w:rPr>
                <w:rFonts w:ascii="Cambria" w:eastAsia="Calibri" w:hAnsi="Cambria" w:cs="Times New Roman"/>
                <w:bCs/>
                <w:sz w:val="20"/>
                <w:szCs w:val="18"/>
              </w:rPr>
            </w:pPr>
            <w:r w:rsidRPr="007531F2">
              <w:rPr>
                <w:rFonts w:ascii="Cambria" w:eastAsia="Calibri" w:hAnsi="Cambria" w:cs="Times New Roman"/>
                <w:bCs/>
                <w:sz w:val="20"/>
                <w:szCs w:val="18"/>
              </w:rPr>
              <w:t xml:space="preserve">H: </w:t>
            </w:r>
            <w:r w:rsidRPr="007531F2">
              <w:rPr>
                <w:rFonts w:ascii="Cambria" w:eastAsia="Calibri" w:hAnsi="Cambria" w:cs="Times New Roman"/>
                <w:bCs/>
                <w:sz w:val="18"/>
                <w:szCs w:val="18"/>
              </w:rPr>
              <w:t>-</w:t>
            </w:r>
          </w:p>
        </w:tc>
        <w:tc>
          <w:tcPr>
            <w:tcW w:w="3118" w:type="dxa"/>
            <w:gridSpan w:val="3"/>
            <w:shd w:val="clear" w:color="auto" w:fill="auto"/>
            <w:vAlign w:val="center"/>
          </w:tcPr>
          <w:p w:rsidR="007531F2" w:rsidRPr="007531F2" w:rsidRDefault="007531F2" w:rsidP="007531F2">
            <w:pPr>
              <w:widowControl w:val="0"/>
              <w:spacing w:after="0" w:line="360" w:lineRule="auto"/>
              <w:contextualSpacing/>
              <w:jc w:val="center"/>
              <w:rPr>
                <w:rFonts w:ascii="Cambria" w:eastAsia="Calibri" w:hAnsi="Cambria" w:cs="Times New Roman"/>
                <w:bCs/>
                <w:sz w:val="20"/>
                <w:szCs w:val="18"/>
              </w:rPr>
            </w:pPr>
            <w:r w:rsidRPr="007531F2">
              <w:rPr>
                <w:rFonts w:ascii="Cambria" w:eastAsia="Calibri" w:hAnsi="Cambria" w:cs="Times New Roman"/>
                <w:bCs/>
                <w:sz w:val="20"/>
                <w:szCs w:val="18"/>
              </w:rPr>
              <w:t xml:space="preserve">P: </w:t>
            </w:r>
            <w:r w:rsidRPr="007531F2">
              <w:rPr>
                <w:rFonts w:ascii="Cambria" w:eastAsia="Calibri" w:hAnsi="Cambria" w:cs="Times New Roman"/>
                <w:bCs/>
                <w:sz w:val="18"/>
                <w:szCs w:val="18"/>
              </w:rPr>
              <w:t>-</w:t>
            </w:r>
          </w:p>
        </w:tc>
      </w:tr>
      <w:tr w:rsidR="007531F2" w:rsidRPr="007531F2" w:rsidTr="00505EAD">
        <w:tc>
          <w:tcPr>
            <w:tcW w:w="1009" w:type="dxa"/>
            <w:tcBorders>
              <w:top w:val="single" w:sz="8" w:space="0" w:color="4F81BD"/>
              <w:left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b/>
                <w:bCs/>
                <w:color w:val="1D1B11"/>
              </w:rPr>
            </w:pPr>
            <w:r w:rsidRPr="007531F2">
              <w:rPr>
                <w:rFonts w:ascii="Cambria" w:eastAsia="Calibri" w:hAnsi="Cambria" w:cs="Times New Roman"/>
                <w:b/>
                <w:bCs/>
                <w:noProof/>
                <w:color w:val="1D1B11"/>
                <w:lang w:eastAsia="de-DE"/>
              </w:rPr>
              <w:drawing>
                <wp:inline distT="0" distB="0" distL="0" distR="0" wp14:anchorId="46C36F34" wp14:editId="528DF6E8">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2B45F408" wp14:editId="35AF90E7">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2B56B806" wp14:editId="38DE8A4F">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4C6CC128" wp14:editId="033AE7D0">
                  <wp:extent cx="540000" cy="540000"/>
                  <wp:effectExtent l="0" t="0" r="0" b="0"/>
                  <wp:docPr id="6" name="Grafik 6"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05DBC698" wp14:editId="5B5E7941">
                  <wp:extent cx="540000" cy="540000"/>
                  <wp:effectExtent l="0" t="0" r="0" b="0"/>
                  <wp:docPr id="7" name="Grafik 7"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525EA0BF" wp14:editId="1349B0C2">
                  <wp:extent cx="540000" cy="540000"/>
                  <wp:effectExtent l="0" t="0" r="0" b="0"/>
                  <wp:docPr id="8" name="Grafik 8"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0D0EAF23" wp14:editId="07618F16">
                  <wp:extent cx="540000" cy="540000"/>
                  <wp:effectExtent l="0" t="0" r="0" b="0"/>
                  <wp:docPr id="9" name="Grafik 9"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44BAE967" wp14:editId="5198E6EA">
                  <wp:extent cx="540000" cy="540000"/>
                  <wp:effectExtent l="0" t="0" r="0" b="0"/>
                  <wp:docPr id="10" name="Grafik 10"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531F2" w:rsidRPr="007531F2" w:rsidRDefault="007531F2" w:rsidP="007531F2">
            <w:pPr>
              <w:widowControl w:val="0"/>
              <w:spacing w:after="0" w:line="360" w:lineRule="auto"/>
              <w:contextualSpacing/>
              <w:jc w:val="both"/>
              <w:rPr>
                <w:rFonts w:ascii="Cambria" w:eastAsia="Calibri" w:hAnsi="Cambria" w:cs="Times New Roman"/>
                <w:color w:val="1D1B11"/>
              </w:rPr>
            </w:pPr>
            <w:r w:rsidRPr="007531F2">
              <w:rPr>
                <w:rFonts w:ascii="Cambria" w:eastAsia="Calibri" w:hAnsi="Cambria" w:cs="Times New Roman"/>
                <w:noProof/>
                <w:color w:val="1D1B11"/>
                <w:lang w:eastAsia="de-DE"/>
              </w:rPr>
              <w:drawing>
                <wp:inline distT="0" distB="0" distL="0" distR="0" wp14:anchorId="71DF7852" wp14:editId="2517CF69">
                  <wp:extent cx="540000" cy="540000"/>
                  <wp:effectExtent l="0" t="0" r="0" b="0"/>
                  <wp:docPr id="11" name="Grafik 1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7531F2" w:rsidRPr="007531F2" w:rsidRDefault="007531F2" w:rsidP="007531F2">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Materialien:</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r w:rsidRPr="007531F2">
        <w:rPr>
          <w:rFonts w:ascii="Cambria" w:eastAsia="Calibri" w:hAnsi="Cambria" w:cs="Times New Roman"/>
          <w:color w:val="1D1B11"/>
        </w:rPr>
        <w:t>PET-Flasche, leeres Backölfläschchen</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Chemikalien:</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r w:rsidRPr="007531F2">
        <w:rPr>
          <w:rFonts w:ascii="Cambria" w:eastAsia="Calibri" w:hAnsi="Cambria" w:cs="Times New Roman"/>
          <w:color w:val="1D1B11"/>
        </w:rPr>
        <w:t>Wasser</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Durchführung:</w:t>
      </w:r>
    </w:p>
    <w:p w:rsidR="007531F2" w:rsidRPr="007531F2" w:rsidRDefault="007531F2" w:rsidP="007531F2">
      <w:pPr>
        <w:widowControl w:val="0"/>
        <w:spacing w:after="200" w:line="360" w:lineRule="auto"/>
        <w:contextualSpacing/>
        <w:jc w:val="both"/>
        <w:rPr>
          <w:rFonts w:ascii="Cambria" w:eastAsia="Calibri" w:hAnsi="Cambria" w:cs="Times New Roman"/>
          <w:color w:val="1D1B11"/>
        </w:rPr>
      </w:pPr>
      <w:r w:rsidRPr="007531F2">
        <w:rPr>
          <w:rFonts w:ascii="Cambria" w:eastAsia="Calibri" w:hAnsi="Cambria" w:cs="Times New Roman"/>
          <w:color w:val="1D1B11"/>
        </w:rPr>
        <w:t>Eine Flasche wird randvoll mit Wasser befüllt. Ein Backölfläschchen wird mit der Öffnung nach unten in das Wasser gegeben, sodass es weiterhin mit Luft befüllt ist. Die Flasche wird dann zugeschraubt. Nun wird die Flasche leicht zusammengedrückt.</w:t>
      </w:r>
    </w:p>
    <w:p w:rsidR="007531F2" w:rsidRPr="007531F2" w:rsidRDefault="007531F2" w:rsidP="007531F2">
      <w:pPr>
        <w:widowControl w:val="0"/>
        <w:spacing w:after="200" w:line="360" w:lineRule="auto"/>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Beobachtung:</w:t>
      </w:r>
    </w:p>
    <w:p w:rsidR="007531F2" w:rsidRPr="007531F2" w:rsidRDefault="007531F2" w:rsidP="007531F2">
      <w:pPr>
        <w:widowControl w:val="0"/>
        <w:spacing w:after="200" w:line="360" w:lineRule="auto"/>
        <w:contextualSpacing/>
        <w:jc w:val="both"/>
        <w:rPr>
          <w:rFonts w:ascii="Cambria" w:eastAsia="Calibri" w:hAnsi="Cambria" w:cs="Times New Roman"/>
          <w:color w:val="1D1B11"/>
        </w:rPr>
      </w:pPr>
      <w:r w:rsidRPr="007531F2">
        <w:rPr>
          <w:rFonts w:ascii="Cambria" w:eastAsia="Calibri" w:hAnsi="Cambria" w:cs="Times New Roman"/>
          <w:color w:val="1D1B11"/>
        </w:rPr>
        <w:t>Wird die Flasche leicht zusammengedrückt, sinkt das Backölfläschchen nach unten. Wird der Druck gelöst, steigt das Fläschchen wieder nach oben.</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Deutung:</w:t>
      </w:r>
    </w:p>
    <w:p w:rsidR="007531F2" w:rsidRPr="007531F2" w:rsidRDefault="007531F2" w:rsidP="007531F2">
      <w:pPr>
        <w:widowControl w:val="0"/>
        <w:spacing w:after="200" w:line="360" w:lineRule="auto"/>
        <w:contextualSpacing/>
        <w:jc w:val="both"/>
        <w:rPr>
          <w:rFonts w:ascii="Cambria" w:eastAsia="Calibri" w:hAnsi="Cambria" w:cs="Times New Roman"/>
          <w:color w:val="1D1B11"/>
        </w:rPr>
      </w:pPr>
      <w:r w:rsidRPr="007531F2">
        <w:rPr>
          <w:rFonts w:ascii="Cambria" w:eastAsia="Calibri" w:hAnsi="Cambria" w:cs="Times New Roman"/>
          <w:color w:val="1D1B11"/>
        </w:rPr>
        <w:t>Der Druck der auf die PET-Flasche ausgeübt wird, überträgt sich auf die Luft in dem Backölfläschchen, wodurch diese komprimiert wird. Wasser kann nun in das Backölfläschchen steigen. Somit erhöht sich die Dichte und der Auftrieb wird verringert. Die Backölflasche sinkt nach unten. Wird der Druck auf die PET-Flasche gelöst, dehnt sich die Luft in dem Backölfläschchen wieder aus, das Wasser wird hinausgedrückt, die Dichte nimmt ab und das Fläschchen steigt wieder nach oben.</w:t>
      </w:r>
    </w:p>
    <w:p w:rsidR="007531F2" w:rsidRPr="007531F2" w:rsidRDefault="007531F2" w:rsidP="007531F2">
      <w:pPr>
        <w:widowControl w:val="0"/>
        <w:tabs>
          <w:tab w:val="left" w:pos="1701"/>
          <w:tab w:val="left" w:pos="1985"/>
        </w:tabs>
        <w:spacing w:after="200" w:line="360" w:lineRule="auto"/>
        <w:contextualSpacing/>
        <w:jc w:val="both"/>
        <w:rPr>
          <w:rFonts w:ascii="Cambria" w:eastAsia="MS Mincho"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Entsorgung:</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r w:rsidRPr="007531F2">
        <w:rPr>
          <w:rFonts w:ascii="Cambria" w:eastAsia="Calibri" w:hAnsi="Cambria" w:cs="Times New Roman"/>
          <w:color w:val="1D1B11"/>
        </w:rPr>
        <w:t xml:space="preserve">Das Wasser kann in den Ausguss gegeben werden. </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color w:val="1D1B11"/>
        </w:rPr>
      </w:pP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b/>
          <w:color w:val="1D1B11"/>
        </w:rPr>
      </w:pPr>
      <w:r w:rsidRPr="007531F2">
        <w:rPr>
          <w:rFonts w:ascii="Cambria" w:eastAsia="Calibri" w:hAnsi="Cambria" w:cs="Times New Roman"/>
          <w:b/>
          <w:color w:val="1D1B11"/>
        </w:rPr>
        <w:t>Literatur:</w:t>
      </w:r>
    </w:p>
    <w:p w:rsidR="007531F2" w:rsidRPr="007531F2" w:rsidRDefault="007531F2" w:rsidP="007531F2">
      <w:pPr>
        <w:widowControl w:val="0"/>
        <w:spacing w:after="200" w:line="360" w:lineRule="auto"/>
        <w:ind w:left="1701" w:hanging="1701"/>
        <w:contextualSpacing/>
        <w:jc w:val="both"/>
        <w:rPr>
          <w:rFonts w:ascii="Cambria" w:eastAsia="Calibri" w:hAnsi="Cambria" w:cs="Times New Roman"/>
          <w:noProof/>
          <w:color w:val="1D1B11"/>
          <w:sz w:val="24"/>
          <w:szCs w:val="24"/>
        </w:rPr>
      </w:pPr>
      <w:r w:rsidRPr="007531F2">
        <w:rPr>
          <w:rFonts w:ascii="Cambria" w:eastAsia="Calibri" w:hAnsi="Cambria" w:cs="Times New Roman"/>
          <w:color w:val="1D1B11"/>
        </w:rPr>
        <w:fldChar w:fldCharType="begin"/>
      </w:r>
      <w:r w:rsidRPr="007531F2">
        <w:rPr>
          <w:rFonts w:ascii="Cambria" w:eastAsia="Calibri" w:hAnsi="Cambria" w:cs="Times New Roman"/>
          <w:color w:val="1D1B11"/>
        </w:rPr>
        <w:instrText xml:space="preserve"> BIBLIOGRAPHY  \l 1031 </w:instrText>
      </w:r>
      <w:r w:rsidRPr="007531F2">
        <w:rPr>
          <w:rFonts w:ascii="Cambria" w:eastAsia="Calibri" w:hAnsi="Cambria" w:cs="Times New Roman"/>
          <w:color w:val="1D1B11"/>
        </w:rPr>
        <w:fldChar w:fldCharType="separate"/>
      </w:r>
      <w:r w:rsidRPr="007531F2">
        <w:rPr>
          <w:rFonts w:ascii="Cambria" w:eastAsia="Calibri" w:hAnsi="Cambria" w:cs="Times New Roman"/>
          <w:noProof/>
          <w:color w:val="1D1B11"/>
        </w:rPr>
        <w:t xml:space="preserve">Hecker, J. (2010). </w:t>
      </w:r>
      <w:r w:rsidRPr="007531F2">
        <w:rPr>
          <w:rFonts w:ascii="Cambria" w:eastAsia="Calibri" w:hAnsi="Cambria" w:cs="Times New Roman"/>
          <w:i/>
          <w:iCs/>
          <w:noProof/>
          <w:color w:val="1D1B11"/>
        </w:rPr>
        <w:t>Der Kinder Brockhaus Experimente: Den Naturwissenschaften auf der Spur.</w:t>
      </w:r>
      <w:r w:rsidRPr="007531F2">
        <w:rPr>
          <w:rFonts w:ascii="Cambria" w:eastAsia="Calibri" w:hAnsi="Cambria" w:cs="Times New Roman"/>
          <w:noProof/>
          <w:color w:val="1D1B11"/>
        </w:rPr>
        <w:t xml:space="preserve"> </w:t>
      </w:r>
      <w:r w:rsidRPr="007531F2">
        <w:rPr>
          <w:rFonts w:ascii="Cambria" w:eastAsia="Calibri" w:hAnsi="Cambria" w:cs="Times New Roman"/>
          <w:noProof/>
          <w:color w:val="1D1B11"/>
        </w:rPr>
        <w:lastRenderedPageBreak/>
        <w:t>Gütersloh, München: F.A. Brockhaus.</w:t>
      </w:r>
    </w:p>
    <w:p w:rsidR="007531F2" w:rsidRPr="007531F2" w:rsidRDefault="007531F2" w:rsidP="007531F2">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r w:rsidRPr="007531F2">
        <w:rPr>
          <w:rFonts w:ascii="Cambria" w:eastAsia="Calibri" w:hAnsi="Cambria" w:cs="Times New Roman"/>
          <w:color w:val="1D1B11"/>
        </w:rPr>
        <w:fldChar w:fldCharType="end"/>
      </w:r>
    </w:p>
    <w:p w:rsidR="007531F2" w:rsidRPr="007531F2" w:rsidRDefault="007531F2" w:rsidP="007531F2">
      <w:pPr>
        <w:spacing w:after="200" w:line="360" w:lineRule="auto"/>
        <w:jc w:val="both"/>
        <w:rPr>
          <w:rFonts w:ascii="Cambria" w:eastAsia="Calibri" w:hAnsi="Cambria" w:cs="Times New Roman"/>
          <w:b/>
        </w:rPr>
      </w:pPr>
      <w:r w:rsidRPr="007531F2">
        <w:rPr>
          <w:rFonts w:ascii="Cambria" w:eastAsia="Calibri" w:hAnsi="Cambria" w:cs="Times New Roman"/>
          <w:b/>
        </w:rPr>
        <w:t>Unterrichtsanschlüsse:</w:t>
      </w:r>
    </w:p>
    <w:p w:rsidR="007531F2" w:rsidRPr="007531F2" w:rsidRDefault="007531F2" w:rsidP="007531F2">
      <w:pPr>
        <w:spacing w:after="200" w:line="360" w:lineRule="auto"/>
        <w:jc w:val="both"/>
        <w:rPr>
          <w:rFonts w:ascii="Cambria" w:eastAsia="Calibri" w:hAnsi="Cambria" w:cs="Times New Roman"/>
        </w:rPr>
      </w:pPr>
      <w:r w:rsidRPr="007531F2">
        <w:rPr>
          <w:rFonts w:ascii="Cambria" w:eastAsia="Calibri" w:hAnsi="Cambria" w:cs="Times New Roman"/>
        </w:rPr>
        <w:t>Dieser Versuch kann ebenfalls als Schülerversuch durchgeführt werden. Hierbei können die SuS die Materialien von zuhause mitbringen.</w:t>
      </w:r>
    </w:p>
    <w:p w:rsidR="007531F2" w:rsidRPr="007531F2" w:rsidRDefault="007531F2" w:rsidP="007531F2">
      <w:pPr>
        <w:spacing w:after="200" w:line="360" w:lineRule="auto"/>
        <w:jc w:val="both"/>
        <w:rPr>
          <w:rFonts w:ascii="Cambria" w:eastAsia="Calibri" w:hAnsi="Cambria" w:cs="Times New Roman"/>
        </w:rPr>
      </w:pPr>
      <w:r w:rsidRPr="007531F2">
        <w:rPr>
          <w:rFonts w:ascii="Cambria" w:eastAsia="Calibri" w:hAnsi="Cambria" w:cs="Times New Roman"/>
        </w:rPr>
        <w:t>Es sollte darauf geachtet werden, dass die Flasche und auch das Backölfläschchen durchsichtig sind. Bei genauem und sorgfältigem Beobachten, kann das Einströmen des Wassers in das Backölfläschchen beobachtet werden.</w:t>
      </w:r>
    </w:p>
    <w:p w:rsidR="009D0F8E" w:rsidRPr="007531F2" w:rsidRDefault="007531F2" w:rsidP="007531F2"/>
    <w:sectPr w:rsidR="009D0F8E" w:rsidRPr="007531F2"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493C20"/>
    <w:rsid w:val="004E374E"/>
    <w:rsid w:val="005A6580"/>
    <w:rsid w:val="005B7623"/>
    <w:rsid w:val="0061061B"/>
    <w:rsid w:val="006F523C"/>
    <w:rsid w:val="006F6BA1"/>
    <w:rsid w:val="007531F2"/>
    <w:rsid w:val="0082061E"/>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A02"/>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s>
</file>

<file path=customXml/itemProps1.xml><?xml version="1.0" encoding="utf-8"?>
<ds:datastoreItem xmlns:ds="http://schemas.openxmlformats.org/officeDocument/2006/customXml" ds:itemID="{69D2F1EE-18A8-4831-B5AD-B00788E0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2</cp:revision>
  <dcterms:created xsi:type="dcterms:W3CDTF">2017-10-05T12:28:00Z</dcterms:created>
  <dcterms:modified xsi:type="dcterms:W3CDTF">2017-10-05T12:28:00Z</dcterms:modified>
</cp:coreProperties>
</file>