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DB8" w:rsidRPr="00937DB8" w:rsidRDefault="00937DB8" w:rsidP="00937DB8">
      <w:pPr>
        <w:widowControl w:val="0"/>
        <w:numPr>
          <w:ilvl w:val="1"/>
          <w:numId w:val="0"/>
        </w:numPr>
        <w:spacing w:before="200" w:after="200" w:line="360" w:lineRule="auto"/>
        <w:ind w:left="576" w:hanging="576"/>
        <w:contextualSpacing/>
        <w:jc w:val="both"/>
        <w:outlineLvl w:val="1"/>
        <w:rPr>
          <w:rFonts w:ascii="Cambria" w:eastAsia="MS Gothic" w:hAnsi="Cambria" w:cs="Times New Roman"/>
          <w:b/>
          <w:bCs/>
          <w:color w:val="1D1B11"/>
          <w:szCs w:val="26"/>
        </w:rPr>
      </w:pPr>
      <w:bookmarkStart w:id="0" w:name="_Toc488617219"/>
      <w:r>
        <w:rPr>
          <w:rFonts w:ascii="Cambria" w:eastAsia="MS Gothic" w:hAnsi="Cambria" w:cs="Times New Roman"/>
          <w:b/>
          <w:bCs/>
          <w:color w:val="1D1B11"/>
          <w:szCs w:val="26"/>
        </w:rPr>
        <w:t>V7</w:t>
      </w:r>
      <w:bookmarkStart w:id="1" w:name="_GoBack"/>
      <w:bookmarkEnd w:id="1"/>
      <w:r w:rsidRPr="00937DB8">
        <w:rPr>
          <w:rFonts w:ascii="Cambria" w:eastAsia="MS Gothic" w:hAnsi="Cambria" w:cs="Times New Roman"/>
          <w:b/>
          <w:bCs/>
          <w:color w:val="1D1B11"/>
          <w:szCs w:val="26"/>
        </w:rPr>
        <w:t xml:space="preserve"> – Schwimmende und sinkende 10 Cent Münze</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37DB8" w:rsidRPr="00937DB8" w:rsidTr="00505EAD">
        <w:tc>
          <w:tcPr>
            <w:tcW w:w="9322" w:type="dxa"/>
            <w:gridSpan w:val="9"/>
            <w:shd w:val="clear" w:color="auto" w:fill="4F81BD"/>
            <w:vAlign w:val="center"/>
          </w:tcPr>
          <w:p w:rsidR="00937DB8" w:rsidRPr="00937DB8" w:rsidRDefault="00937DB8" w:rsidP="00937DB8">
            <w:pPr>
              <w:widowControl w:val="0"/>
              <w:spacing w:after="0" w:line="360" w:lineRule="auto"/>
              <w:contextualSpacing/>
              <w:jc w:val="both"/>
              <w:rPr>
                <w:rFonts w:ascii="Cambria" w:eastAsia="Calibri" w:hAnsi="Cambria" w:cs="Times New Roman"/>
                <w:b/>
                <w:bCs/>
                <w:color w:val="FFFFFF"/>
              </w:rPr>
            </w:pPr>
            <w:r w:rsidRPr="00937DB8">
              <w:rPr>
                <w:rFonts w:ascii="Cambria" w:eastAsia="Calibri" w:hAnsi="Cambria" w:cs="Times New Roman"/>
                <w:b/>
                <w:bCs/>
                <w:color w:val="FFFFFF"/>
              </w:rPr>
              <w:t>Gefahrenstoffe</w:t>
            </w:r>
          </w:p>
        </w:tc>
      </w:tr>
      <w:tr w:rsidR="00937DB8" w:rsidRPr="00937DB8"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b/>
                <w:bCs/>
                <w:color w:val="1D1B11"/>
              </w:rPr>
            </w:pPr>
            <w:r w:rsidRPr="00937DB8">
              <w:rPr>
                <w:rFonts w:ascii="Cambria" w:eastAsia="Calibri" w:hAnsi="Cambria" w:cs="Times New Roman"/>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color w:val="1D1B11"/>
                <w:sz w:val="20"/>
              </w:rPr>
              <w:t xml:space="preserve">H: </w:t>
            </w:r>
            <w:r w:rsidRPr="00937DB8">
              <w:rPr>
                <w:rFonts w:ascii="Cambria" w:eastAsia="Calibri" w:hAnsi="Cambria" w:cs="Times New Roman"/>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color w:val="1D1B11"/>
                <w:sz w:val="20"/>
              </w:rPr>
              <w:t xml:space="preserve">P: </w:t>
            </w:r>
            <w:r w:rsidRPr="00937DB8">
              <w:rPr>
                <w:rFonts w:ascii="Cambria" w:eastAsia="Calibri" w:hAnsi="Cambria" w:cs="Times New Roman"/>
                <w:color w:val="1D1B11"/>
              </w:rPr>
              <w:t>-</w:t>
            </w:r>
          </w:p>
        </w:tc>
      </w:tr>
      <w:tr w:rsidR="00937DB8" w:rsidRPr="00937DB8" w:rsidTr="00505EAD">
        <w:tc>
          <w:tcPr>
            <w:tcW w:w="1009" w:type="dxa"/>
            <w:tcBorders>
              <w:top w:val="single" w:sz="8" w:space="0" w:color="4F81BD"/>
              <w:left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b/>
                <w:bCs/>
                <w:color w:val="1D1B11"/>
              </w:rPr>
            </w:pPr>
            <w:r w:rsidRPr="00937DB8">
              <w:rPr>
                <w:rFonts w:ascii="Cambria" w:eastAsia="Calibri" w:hAnsi="Cambria" w:cs="Times New Roman"/>
                <w:b/>
                <w:bCs/>
                <w:noProof/>
                <w:color w:val="1D1B11"/>
                <w:lang w:eastAsia="de-DE"/>
              </w:rPr>
              <w:drawing>
                <wp:inline distT="0" distB="0" distL="0" distR="0" wp14:anchorId="693C641F" wp14:editId="4CD9E622">
                  <wp:extent cx="540000" cy="540000"/>
                  <wp:effectExtent l="0" t="0" r="0" b="0"/>
                  <wp:docPr id="24" name="Grafik 2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5E5E7D44" wp14:editId="69F88E84">
                  <wp:extent cx="540000" cy="540000"/>
                  <wp:effectExtent l="0" t="0" r="0" b="0"/>
                  <wp:docPr id="25" name="Grafik 2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7F803E9B" wp14:editId="75EECCA5">
                  <wp:extent cx="540000" cy="540000"/>
                  <wp:effectExtent l="0" t="0" r="0" b="0"/>
                  <wp:docPr id="26" name="Grafik 2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652DDE62" wp14:editId="2BB94CF7">
                  <wp:extent cx="540000" cy="540000"/>
                  <wp:effectExtent l="0" t="0" r="0" b="0"/>
                  <wp:docPr id="27" name="Grafik 2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7ECA60C4" wp14:editId="34EF3285">
                  <wp:extent cx="540000" cy="540000"/>
                  <wp:effectExtent l="0" t="0" r="0" b="0"/>
                  <wp:docPr id="28" name="Grafik 2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5771E0C5" wp14:editId="46C8D835">
                  <wp:extent cx="540000" cy="540000"/>
                  <wp:effectExtent l="0" t="0" r="0" b="0"/>
                  <wp:docPr id="29" name="Grafik 29"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221B3FA6" wp14:editId="0A658758">
                  <wp:extent cx="540000" cy="540000"/>
                  <wp:effectExtent l="0" t="0" r="0" b="0"/>
                  <wp:docPr id="30" name="Grafik 30"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7405EBBF" wp14:editId="2231E1BE">
                  <wp:extent cx="540000" cy="540000"/>
                  <wp:effectExtent l="0" t="0" r="0" b="0"/>
                  <wp:docPr id="31" name="Grafik 31"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37DB8" w:rsidRPr="00937DB8" w:rsidRDefault="00937DB8" w:rsidP="00937DB8">
            <w:pPr>
              <w:widowControl w:val="0"/>
              <w:spacing w:after="0" w:line="360" w:lineRule="auto"/>
              <w:contextualSpacing/>
              <w:jc w:val="both"/>
              <w:rPr>
                <w:rFonts w:ascii="Cambria" w:eastAsia="Calibri" w:hAnsi="Cambria" w:cs="Times New Roman"/>
                <w:color w:val="1D1B11"/>
              </w:rPr>
            </w:pPr>
            <w:r w:rsidRPr="00937DB8">
              <w:rPr>
                <w:rFonts w:ascii="Cambria" w:eastAsia="Calibri" w:hAnsi="Cambria" w:cs="Times New Roman"/>
                <w:noProof/>
                <w:color w:val="1D1B11"/>
                <w:lang w:eastAsia="de-DE"/>
              </w:rPr>
              <w:drawing>
                <wp:inline distT="0" distB="0" distL="0" distR="0" wp14:anchorId="6EAE0A77" wp14:editId="25D46C45">
                  <wp:extent cx="540000" cy="540000"/>
                  <wp:effectExtent l="0" t="0" r="0" b="0"/>
                  <wp:docPr id="32" name="Grafik 32"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937DB8" w:rsidRPr="00937DB8" w:rsidRDefault="00937DB8" w:rsidP="00937DB8">
      <w:pPr>
        <w:widowControl w:val="0"/>
        <w:tabs>
          <w:tab w:val="left" w:pos="1701"/>
          <w:tab w:val="left" w:pos="1985"/>
        </w:tabs>
        <w:spacing w:after="200" w:line="360" w:lineRule="auto"/>
        <w:ind w:left="1980" w:hanging="1980"/>
        <w:contextualSpacing/>
        <w:jc w:val="both"/>
        <w:rPr>
          <w:rFonts w:ascii="Cambria" w:eastAsia="Calibri" w:hAnsi="Cambria" w:cs="Times New Roman"/>
        </w:rPr>
      </w:pP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b/>
          <w:color w:val="1D1B11"/>
        </w:rPr>
      </w:pPr>
      <w:r w:rsidRPr="00937DB8">
        <w:rPr>
          <w:rFonts w:ascii="Cambria" w:eastAsia="Calibri" w:hAnsi="Cambria" w:cs="Times New Roman"/>
          <w:b/>
          <w:color w:val="1D1B11"/>
        </w:rPr>
        <w:t>Materialien:</w:t>
      </w: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color w:val="1D1B11"/>
        </w:rPr>
      </w:pPr>
      <w:r w:rsidRPr="00937DB8">
        <w:rPr>
          <w:rFonts w:ascii="Cambria" w:eastAsia="Calibri" w:hAnsi="Cambria" w:cs="Times New Roman"/>
          <w:color w:val="1D1B11"/>
        </w:rPr>
        <w:t>Pneumatische Wanne, Alufolie, 10 Cent Münzen, Waage</w:t>
      </w: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color w:val="1D1B11"/>
        </w:rPr>
      </w:pP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b/>
          <w:color w:val="1D1B11"/>
        </w:rPr>
      </w:pPr>
      <w:r w:rsidRPr="00937DB8">
        <w:rPr>
          <w:rFonts w:ascii="Cambria" w:eastAsia="Calibri" w:hAnsi="Cambria" w:cs="Times New Roman"/>
          <w:b/>
          <w:color w:val="1D1B11"/>
        </w:rPr>
        <w:t>Chemikalien:</w:t>
      </w: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color w:val="1D1B11"/>
        </w:rPr>
      </w:pPr>
      <w:r w:rsidRPr="00937DB8">
        <w:rPr>
          <w:rFonts w:ascii="Cambria" w:eastAsia="Calibri" w:hAnsi="Cambria" w:cs="Times New Roman"/>
          <w:color w:val="1D1B11"/>
        </w:rPr>
        <w:t>Wasser</w:t>
      </w: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color w:val="1D1B11"/>
        </w:rPr>
      </w:pPr>
    </w:p>
    <w:p w:rsidR="00937DB8" w:rsidRPr="00937DB8" w:rsidRDefault="00937DB8" w:rsidP="00937DB8">
      <w:pPr>
        <w:widowControl w:val="0"/>
        <w:spacing w:after="200" w:line="360" w:lineRule="auto"/>
        <w:ind w:left="1701" w:hanging="1701"/>
        <w:contextualSpacing/>
        <w:jc w:val="both"/>
        <w:rPr>
          <w:rFonts w:ascii="Cambria" w:eastAsia="Calibri" w:hAnsi="Cambria" w:cs="Times New Roman"/>
          <w:b/>
          <w:color w:val="1D1B11"/>
        </w:rPr>
      </w:pPr>
      <w:r w:rsidRPr="00937DB8">
        <w:rPr>
          <w:rFonts w:ascii="Cambria" w:eastAsia="Calibri" w:hAnsi="Cambria" w:cs="Times New Roman"/>
          <w:b/>
          <w:color w:val="1D1B11"/>
        </w:rPr>
        <w:t>Durchführung:</w:t>
      </w:r>
    </w:p>
    <w:p w:rsidR="00937DB8" w:rsidRPr="00937DB8" w:rsidRDefault="00937DB8" w:rsidP="00937DB8">
      <w:pPr>
        <w:widowControl w:val="0"/>
        <w:spacing w:after="200" w:line="360" w:lineRule="auto"/>
        <w:contextualSpacing/>
        <w:jc w:val="both"/>
        <w:rPr>
          <w:rFonts w:ascii="Cambria" w:eastAsia="Calibri" w:hAnsi="Cambria" w:cs="Times New Roman"/>
          <w:color w:val="1D1B11"/>
        </w:rPr>
      </w:pPr>
      <w:r w:rsidRPr="00937DB8">
        <w:rPr>
          <w:rFonts w:ascii="Cambria" w:eastAsia="Calibri" w:hAnsi="Cambria" w:cs="Times New Roman"/>
          <w:color w:val="1D1B11"/>
        </w:rPr>
        <w:t>Zwei gleich große Stücke Alufolie werden ausgeschnitten. Aus dem einen Stück Folie wird eine Art Boot gebastelt. Vorsichtig wird nun ein 10 Cent Stück in das Boot hineingelegt. Ein weiteres 10 Cent Stück wird mit dem zweiten Stück Alufolie umwickelt. Das Aluboot mit der 10 Cent Münze und das mit Alufolie umwickelte Geldstück werden jeweils gewogen. Das Gewicht sollte gleich sein. Die Alufolie mit dem 10 Cent Stück und das Aluboot mit dem 10 Cent Stück werden auf das Wasser gelegt.</w:t>
      </w:r>
    </w:p>
    <w:p w:rsidR="00937DB8" w:rsidRPr="00937DB8" w:rsidRDefault="00937DB8" w:rsidP="00937DB8">
      <w:pPr>
        <w:widowControl w:val="0"/>
        <w:spacing w:after="200" w:line="360" w:lineRule="auto"/>
        <w:contextualSpacing/>
        <w:jc w:val="both"/>
        <w:rPr>
          <w:rFonts w:ascii="Cambria" w:eastAsia="Calibri" w:hAnsi="Cambria" w:cs="Times New Roman"/>
          <w:color w:val="1D1B11"/>
        </w:rPr>
      </w:pPr>
    </w:p>
    <w:p w:rsidR="00937DB8" w:rsidRPr="00937DB8" w:rsidRDefault="00937DB8" w:rsidP="00937DB8">
      <w:pPr>
        <w:widowControl w:val="0"/>
        <w:tabs>
          <w:tab w:val="left" w:pos="1701"/>
          <w:tab w:val="left" w:pos="1985"/>
        </w:tabs>
        <w:spacing w:after="200" w:line="360" w:lineRule="auto"/>
        <w:ind w:left="1980" w:hanging="1980"/>
        <w:contextualSpacing/>
        <w:jc w:val="both"/>
        <w:rPr>
          <w:rFonts w:ascii="Cambria" w:eastAsia="Calibri" w:hAnsi="Cambria" w:cs="Times New Roman"/>
          <w:b/>
        </w:rPr>
      </w:pPr>
      <w:r w:rsidRPr="00937DB8">
        <w:rPr>
          <w:rFonts w:ascii="Cambria" w:eastAsia="Calibri" w:hAnsi="Cambria" w:cs="Times New Roman"/>
          <w:b/>
        </w:rPr>
        <w:t>Beobachtung:</w:t>
      </w:r>
    </w:p>
    <w:p w:rsidR="00937DB8" w:rsidRPr="00937DB8" w:rsidRDefault="00937DB8" w:rsidP="00937DB8">
      <w:pPr>
        <w:widowControl w:val="0"/>
        <w:spacing w:after="200" w:line="360" w:lineRule="auto"/>
        <w:contextualSpacing/>
        <w:jc w:val="both"/>
        <w:rPr>
          <w:rFonts w:ascii="Cambria" w:eastAsia="Calibri" w:hAnsi="Cambria" w:cs="Times New Roman"/>
        </w:rPr>
      </w:pPr>
      <w:r w:rsidRPr="00937DB8">
        <w:rPr>
          <w:rFonts w:ascii="Cambria" w:eastAsia="Calibri" w:hAnsi="Cambria" w:cs="Times New Roman"/>
        </w:rPr>
        <w:t>Das Aluboot mit dem 10 Cent Stück schwimmt auf dem Wasser, während das mit Alufolie umwickelte 10 Cent Stück untergeht.</w:t>
      </w:r>
    </w:p>
    <w:p w:rsidR="00937DB8" w:rsidRPr="00937DB8" w:rsidRDefault="00937DB8" w:rsidP="00937DB8">
      <w:pPr>
        <w:widowControl w:val="0"/>
        <w:spacing w:after="200" w:line="360" w:lineRule="auto"/>
        <w:contextualSpacing/>
        <w:jc w:val="both"/>
        <w:rPr>
          <w:rFonts w:ascii="Cambria" w:eastAsia="Calibri" w:hAnsi="Cambria" w:cs="Times New Roman"/>
        </w:rPr>
      </w:pPr>
    </w:p>
    <w:p w:rsidR="00937DB8" w:rsidRPr="00937DB8" w:rsidRDefault="00937DB8" w:rsidP="00937DB8">
      <w:pPr>
        <w:widowControl w:val="0"/>
        <w:spacing w:after="200" w:line="360" w:lineRule="auto"/>
        <w:contextualSpacing/>
        <w:jc w:val="both"/>
        <w:rPr>
          <w:rFonts w:ascii="Cambria" w:eastAsia="Calibri" w:hAnsi="Cambria" w:cs="Times New Roman"/>
          <w:b/>
        </w:rPr>
      </w:pPr>
      <w:r w:rsidRPr="00937DB8">
        <w:rPr>
          <w:rFonts w:ascii="Cambria" w:eastAsia="Calibri" w:hAnsi="Cambria" w:cs="Times New Roman"/>
          <w:b/>
        </w:rPr>
        <w:t>Deutung:</w:t>
      </w:r>
    </w:p>
    <w:p w:rsidR="00937DB8" w:rsidRPr="00937DB8" w:rsidRDefault="00937DB8" w:rsidP="00937DB8">
      <w:pPr>
        <w:widowControl w:val="0"/>
        <w:spacing w:after="200" w:line="360" w:lineRule="auto"/>
        <w:contextualSpacing/>
        <w:jc w:val="both"/>
        <w:rPr>
          <w:rFonts w:ascii="Cambria" w:eastAsia="Calibri" w:hAnsi="Cambria" w:cs="Times New Roman"/>
        </w:rPr>
      </w:pPr>
      <w:r w:rsidRPr="00937DB8">
        <w:rPr>
          <w:rFonts w:ascii="Cambria" w:eastAsia="Calibri" w:hAnsi="Cambria" w:cs="Times New Roman"/>
        </w:rPr>
        <w:t>Durch die Form des Alubootes verdrängt dieses mehr Wasser. Dadurch schwimmt es auf dem Wasser, während das umwickelte 10 Cent Stück sinkt.</w:t>
      </w:r>
    </w:p>
    <w:p w:rsidR="00937DB8" w:rsidRPr="00937DB8" w:rsidRDefault="00937DB8" w:rsidP="00937DB8">
      <w:pPr>
        <w:widowControl w:val="0"/>
        <w:spacing w:after="200" w:line="360" w:lineRule="auto"/>
        <w:contextualSpacing/>
        <w:jc w:val="both"/>
        <w:rPr>
          <w:rFonts w:ascii="Cambria" w:eastAsia="Calibri" w:hAnsi="Cambria" w:cs="Times New Roman"/>
          <w:color w:val="1D1B11"/>
        </w:rPr>
      </w:pPr>
      <w:r w:rsidRPr="00937DB8">
        <w:rPr>
          <w:rFonts w:ascii="Cambria" w:eastAsia="Calibri" w:hAnsi="Cambria" w:cs="Times New Roman"/>
          <w:color w:val="1D1B11"/>
        </w:rPr>
        <w:t xml:space="preserve">Durch die Form des Alubootes befindet sich mehr Luft in dem Körper. Dadurch ist die Auftriebskraft hier größer als die Gewichtskraft. Das Aluboot mit der 10 Cent Münze kann also auf dem Wasser schwimmen. Die 10 Cent Münze, die mit Alufolie umwickelt wurde, hat eine größere Gewichtskraft als Auftriebskraft. Hierdurch geht die Münze unter. </w:t>
      </w:r>
    </w:p>
    <w:p w:rsidR="00937DB8" w:rsidRPr="00937DB8" w:rsidRDefault="00937DB8" w:rsidP="00937DB8">
      <w:pPr>
        <w:widowControl w:val="0"/>
        <w:spacing w:after="200" w:line="360" w:lineRule="auto"/>
        <w:contextualSpacing/>
        <w:jc w:val="both"/>
        <w:rPr>
          <w:rFonts w:ascii="Cambria" w:eastAsia="Calibri" w:hAnsi="Cambria" w:cs="Times New Roman"/>
          <w:color w:val="1D1B11"/>
        </w:rPr>
      </w:pPr>
    </w:p>
    <w:p w:rsidR="00937DB8" w:rsidRPr="00937DB8" w:rsidRDefault="00937DB8" w:rsidP="00937DB8">
      <w:pPr>
        <w:spacing w:after="200" w:line="360" w:lineRule="auto"/>
        <w:jc w:val="both"/>
        <w:rPr>
          <w:rFonts w:ascii="Cambria" w:eastAsia="Calibri" w:hAnsi="Cambria" w:cs="Times New Roman"/>
          <w:b/>
          <w:color w:val="1D1B11"/>
        </w:rPr>
      </w:pPr>
      <w:r w:rsidRPr="00937DB8">
        <w:rPr>
          <w:rFonts w:ascii="Cambria" w:eastAsia="Calibri" w:hAnsi="Cambria" w:cs="Times New Roman"/>
          <w:b/>
          <w:color w:val="1D1B11"/>
        </w:rPr>
        <w:t>Entsorgung:</w:t>
      </w:r>
    </w:p>
    <w:p w:rsidR="00937DB8" w:rsidRPr="00937DB8" w:rsidRDefault="00937DB8" w:rsidP="00937DB8">
      <w:pPr>
        <w:spacing w:after="200" w:line="360" w:lineRule="auto"/>
        <w:jc w:val="both"/>
        <w:rPr>
          <w:rFonts w:ascii="Cambria" w:eastAsia="Calibri" w:hAnsi="Cambria" w:cs="Times New Roman"/>
          <w:color w:val="1D1B11"/>
        </w:rPr>
      </w:pPr>
      <w:r w:rsidRPr="00937DB8">
        <w:rPr>
          <w:rFonts w:ascii="Cambria" w:eastAsia="Calibri" w:hAnsi="Cambria" w:cs="Times New Roman"/>
          <w:color w:val="1D1B11"/>
        </w:rPr>
        <w:t>Das Wasser wird in den Ausguss gegeben. Die Alufolie wird über den Haushaltsmüll entsorgt.</w:t>
      </w:r>
    </w:p>
    <w:p w:rsidR="00937DB8" w:rsidRPr="00937DB8" w:rsidRDefault="00937DB8" w:rsidP="00937DB8">
      <w:pPr>
        <w:spacing w:after="200" w:line="360" w:lineRule="auto"/>
        <w:jc w:val="both"/>
        <w:rPr>
          <w:rFonts w:ascii="Cambria" w:eastAsia="Calibri" w:hAnsi="Cambria" w:cs="Times New Roman"/>
          <w:noProof/>
          <w:color w:val="1D1B11"/>
        </w:rPr>
      </w:pPr>
      <w:r w:rsidRPr="00937DB8">
        <w:rPr>
          <w:rFonts w:ascii="Cambria" w:eastAsia="Calibri" w:hAnsi="Cambria" w:cs="Times New Roman"/>
          <w:b/>
          <w:color w:val="1D1B11"/>
        </w:rPr>
        <w:lastRenderedPageBreak/>
        <w:t>Literatur:</w:t>
      </w:r>
      <w:r w:rsidRPr="00937DB8">
        <w:rPr>
          <w:rFonts w:ascii="Cambria" w:eastAsia="Calibri" w:hAnsi="Cambria" w:cs="Times New Roman"/>
          <w:color w:val="1D1B11"/>
        </w:rPr>
        <w:fldChar w:fldCharType="begin"/>
      </w:r>
      <w:r w:rsidRPr="00937DB8">
        <w:rPr>
          <w:rFonts w:ascii="Cambria" w:eastAsia="Calibri" w:hAnsi="Cambria" w:cs="Times New Roman"/>
          <w:color w:val="1D1B11"/>
        </w:rPr>
        <w:instrText xml:space="preserve"> BIBLIOGRAPHY  \l 1031 </w:instrText>
      </w:r>
      <w:r w:rsidRPr="00937DB8">
        <w:rPr>
          <w:rFonts w:ascii="Cambria" w:eastAsia="Calibri" w:hAnsi="Cambria" w:cs="Times New Roman"/>
          <w:color w:val="1D1B11"/>
        </w:rPr>
        <w:fldChar w:fldCharType="separate"/>
      </w:r>
    </w:p>
    <w:p w:rsidR="00937DB8" w:rsidRPr="00937DB8" w:rsidRDefault="00937DB8" w:rsidP="00937DB8">
      <w:pPr>
        <w:spacing w:after="200" w:line="360" w:lineRule="auto"/>
        <w:ind w:left="720" w:hanging="720"/>
        <w:jc w:val="both"/>
        <w:rPr>
          <w:rFonts w:ascii="Cambria" w:eastAsia="Calibri" w:hAnsi="Cambria" w:cs="Times New Roman"/>
          <w:noProof/>
          <w:color w:val="1D1B11"/>
        </w:rPr>
      </w:pPr>
      <w:r w:rsidRPr="00937DB8">
        <w:rPr>
          <w:rFonts w:ascii="Cambria" w:eastAsia="Calibri" w:hAnsi="Cambria" w:cs="Times New Roman"/>
          <w:noProof/>
          <w:color w:val="1D1B11"/>
        </w:rPr>
        <w:t xml:space="preserve">van Saan, A. (2010). </w:t>
      </w:r>
      <w:r w:rsidRPr="00937DB8">
        <w:rPr>
          <w:rFonts w:ascii="Cambria" w:eastAsia="Calibri" w:hAnsi="Cambria" w:cs="Times New Roman"/>
          <w:i/>
          <w:iCs/>
          <w:noProof/>
          <w:color w:val="1D1B11"/>
        </w:rPr>
        <w:t>365 Experimente für jeden Tag.</w:t>
      </w:r>
      <w:r w:rsidRPr="00937DB8">
        <w:rPr>
          <w:rFonts w:ascii="Cambria" w:eastAsia="Calibri" w:hAnsi="Cambria" w:cs="Times New Roman"/>
          <w:noProof/>
          <w:color w:val="1D1B11"/>
        </w:rPr>
        <w:t xml:space="preserve"> Kempen: moses.</w:t>
      </w:r>
    </w:p>
    <w:p w:rsidR="009D0F8E" w:rsidRPr="00937DB8" w:rsidRDefault="00937DB8" w:rsidP="00937DB8">
      <w:r w:rsidRPr="00937DB8">
        <w:rPr>
          <w:rFonts w:ascii="Cambria" w:eastAsia="Calibri" w:hAnsi="Cambria" w:cs="Times New Roman"/>
          <w:color w:val="1D1B11"/>
        </w:rPr>
        <w:fldChar w:fldCharType="end"/>
      </w:r>
    </w:p>
    <w:sectPr w:rsidR="009D0F8E" w:rsidRPr="00937DB8" w:rsidSect="00A60F2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2E4FDF"/>
    <w:rsid w:val="00493C20"/>
    <w:rsid w:val="004E374E"/>
    <w:rsid w:val="005A6580"/>
    <w:rsid w:val="005B7623"/>
    <w:rsid w:val="0061061B"/>
    <w:rsid w:val="006F523C"/>
    <w:rsid w:val="006F6BA1"/>
    <w:rsid w:val="007531F2"/>
    <w:rsid w:val="0082061E"/>
    <w:rsid w:val="00937DB8"/>
    <w:rsid w:val="00A60F28"/>
    <w:rsid w:val="00B05D8F"/>
    <w:rsid w:val="00B2567D"/>
    <w:rsid w:val="00B8135D"/>
    <w:rsid w:val="00BF1AAC"/>
    <w:rsid w:val="00DD3538"/>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A02"/>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s>
</file>

<file path=customXml/itemProps1.xml><?xml version="1.0" encoding="utf-8"?>
<ds:datastoreItem xmlns:ds="http://schemas.openxmlformats.org/officeDocument/2006/customXml" ds:itemID="{4DCEDFC7-0FFB-4586-884D-5FE6C976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2</cp:revision>
  <dcterms:created xsi:type="dcterms:W3CDTF">2017-10-05T12:30:00Z</dcterms:created>
  <dcterms:modified xsi:type="dcterms:W3CDTF">2017-10-05T12:30:00Z</dcterms:modified>
</cp:coreProperties>
</file>