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C4E" w:rsidRDefault="00104C4E" w:rsidP="00104C4E">
      <w:pPr>
        <w:pStyle w:val="berschrift1"/>
        <w:numPr>
          <w:ilvl w:val="0"/>
          <w:numId w:val="0"/>
        </w:numPr>
        <w:ind w:left="431" w:hanging="431"/>
      </w:pPr>
      <w:r>
        <w:t>V 1 – Seifen sind Emulgatoren</w:t>
      </w:r>
    </w:p>
    <w:tbl>
      <w:tblPr>
        <w:tblStyle w:val="HelleSchattierung-Akzent11"/>
        <w:tblW w:w="9771" w:type="dxa"/>
        <w:tblLook w:val="04A0" w:firstRow="1" w:lastRow="0" w:firstColumn="1" w:lastColumn="0" w:noHBand="0" w:noVBand="1"/>
      </w:tblPr>
      <w:tblGrid>
        <w:gridCol w:w="2259"/>
        <w:gridCol w:w="1677"/>
        <w:gridCol w:w="2551"/>
        <w:gridCol w:w="3284"/>
      </w:tblGrid>
      <w:tr w:rsidR="00104C4E" w:rsidTr="00104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hideMark/>
          </w:tcPr>
          <w:p w:rsidR="00104C4E" w:rsidRDefault="00104C4E">
            <w:pPr>
              <w:spacing w:after="0"/>
              <w:jc w:val="center"/>
              <w:rPr>
                <w:color w:val="1D1B11" w:themeColor="background2" w:themeShade="1A"/>
                <w:sz w:val="20"/>
              </w:rPr>
            </w:pPr>
            <w:r>
              <w:rPr>
                <w:sz w:val="20"/>
              </w:rPr>
              <w:t>Gefahrenstoffe</w:t>
            </w:r>
          </w:p>
        </w:tc>
        <w:tc>
          <w:tcPr>
            <w:tcW w:w="3284" w:type="dxa"/>
            <w:vMerge w:val="restart"/>
            <w:tcBorders>
              <w:top w:val="nil"/>
              <w:bottom w:val="nil"/>
            </w:tcBorders>
          </w:tcPr>
          <w:p w:rsidR="00104C4E" w:rsidRDefault="00104C4E">
            <w:pPr>
              <w:spacing w:after="0"/>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104C4E" w:rsidTr="00104C4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tcBorders>
              <w:top w:val="nil"/>
              <w:bottom w:val="single" w:sz="8" w:space="0" w:color="4F81BD" w:themeColor="accent1"/>
            </w:tcBorders>
            <w:vAlign w:val="center"/>
            <w:hideMark/>
          </w:tcPr>
          <w:p w:rsidR="00104C4E" w:rsidRDefault="00104C4E">
            <w:pPr>
              <w:spacing w:after="0" w:line="276" w:lineRule="auto"/>
              <w:ind w:right="-180"/>
              <w:jc w:val="center"/>
              <w:rPr>
                <w:b w:val="0"/>
                <w:color w:val="1D1B11" w:themeColor="background2" w:themeShade="1A"/>
                <w:sz w:val="20"/>
              </w:rPr>
            </w:pPr>
            <w:r>
              <w:rPr>
                <w:b w:val="0"/>
                <w:sz w:val="20"/>
              </w:rPr>
              <w:t>-</w:t>
            </w:r>
          </w:p>
        </w:tc>
        <w:tc>
          <w:tcPr>
            <w:tcW w:w="1677" w:type="dxa"/>
            <w:tcBorders>
              <w:top w:val="nil"/>
              <w:bottom w:val="single" w:sz="8" w:space="0" w:color="4F81BD" w:themeColor="accent1"/>
            </w:tcBorders>
            <w:vAlign w:val="center"/>
            <w:hideMark/>
          </w:tcPr>
          <w:p w:rsidR="00104C4E" w:rsidRDefault="00104C4E">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w:t>
            </w:r>
          </w:p>
        </w:tc>
        <w:tc>
          <w:tcPr>
            <w:tcW w:w="2551" w:type="dxa"/>
            <w:tcBorders>
              <w:top w:val="nil"/>
              <w:bottom w:val="single" w:sz="8" w:space="0" w:color="4F81BD" w:themeColor="accent1"/>
            </w:tcBorders>
            <w:vAlign w:val="center"/>
            <w:hideMark/>
          </w:tcPr>
          <w:p w:rsidR="00104C4E" w:rsidRDefault="00104C4E">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P: </w:t>
            </w:r>
            <w:r>
              <w:t>-</w:t>
            </w:r>
          </w:p>
        </w:tc>
        <w:tc>
          <w:tcPr>
            <w:tcW w:w="0" w:type="auto"/>
            <w:vMerge/>
            <w:tcBorders>
              <w:top w:val="nil"/>
              <w:bottom w:val="nil"/>
            </w:tcBorders>
            <w:vAlign w:val="center"/>
            <w:hideMark/>
          </w:tcPr>
          <w:p w:rsidR="00104C4E" w:rsidRDefault="00104C4E">
            <w:pPr>
              <w:spacing w:after="0" w:line="240" w:lineRule="auto"/>
              <w:jc w:val="left"/>
              <w:cnfStyle w:val="000000100000" w:firstRow="0" w:lastRow="0" w:firstColumn="0" w:lastColumn="0" w:oddVBand="0" w:evenVBand="0" w:oddHBand="1" w:evenHBand="0" w:firstRowFirstColumn="0" w:firstRowLastColumn="0" w:lastRowFirstColumn="0" w:lastRowLastColumn="0"/>
              <w:rPr>
                <w:b/>
                <w:bCs/>
                <w:noProof/>
                <w:color w:val="0000FF"/>
                <w:lang w:eastAsia="de-DE"/>
              </w:rPr>
            </w:pPr>
          </w:p>
        </w:tc>
      </w:tr>
    </w:tbl>
    <w:p w:rsidR="00104C4E" w:rsidRDefault="00104C4E" w:rsidP="00104C4E">
      <w:pPr>
        <w:tabs>
          <w:tab w:val="left" w:pos="1701"/>
          <w:tab w:val="left" w:pos="1985"/>
        </w:tabs>
        <w:ind w:left="1980" w:hanging="1980"/>
        <w:rPr>
          <w:rFonts w:cstheme="minorBidi"/>
          <w:color w:val="1D1B11" w:themeColor="background2" w:themeShade="1A"/>
        </w:rPr>
      </w:pPr>
    </w:p>
    <w:p w:rsidR="00104C4E" w:rsidRDefault="00104C4E" w:rsidP="00104C4E">
      <w:pPr>
        <w:tabs>
          <w:tab w:val="left" w:pos="1701"/>
          <w:tab w:val="left" w:pos="1985"/>
        </w:tabs>
        <w:ind w:left="1980" w:hanging="1980"/>
      </w:pPr>
      <w:r>
        <w:t xml:space="preserve">Materialien: </w:t>
      </w:r>
      <w:r>
        <w:tab/>
      </w:r>
      <w:r>
        <w:tab/>
        <w:t>2 Reagenzgläser, 2 Stopfen, Reagenzglasständer</w:t>
      </w:r>
    </w:p>
    <w:p w:rsidR="00104C4E" w:rsidRDefault="00104C4E" w:rsidP="00104C4E">
      <w:pPr>
        <w:tabs>
          <w:tab w:val="left" w:pos="1701"/>
          <w:tab w:val="left" w:pos="1985"/>
        </w:tabs>
        <w:ind w:left="1980" w:hanging="1980"/>
      </w:pPr>
      <w:r>
        <w:t>Chemikalien:</w:t>
      </w:r>
      <w:r>
        <w:tab/>
      </w:r>
      <w:r>
        <w:tab/>
        <w:t>Wasser, Öl, Spülmittel</w:t>
      </w:r>
    </w:p>
    <w:p w:rsidR="00104C4E" w:rsidRDefault="008F2B6A" w:rsidP="00104C4E">
      <w:pPr>
        <w:tabs>
          <w:tab w:val="left" w:pos="1701"/>
          <w:tab w:val="left" w:pos="1985"/>
        </w:tabs>
        <w:ind w:left="1980" w:hanging="1980"/>
      </w:pPr>
      <w:r>
        <w:rPr>
          <w:noProof/>
          <w:lang w:eastAsia="de-DE"/>
        </w:rPr>
        <w:drawing>
          <wp:anchor distT="0" distB="0" distL="114300" distR="114300" simplePos="0" relativeHeight="251658240" behindDoc="0" locked="0" layoutInCell="1" allowOverlap="1" wp14:anchorId="5431537E" wp14:editId="035CF08E">
            <wp:simplePos x="0" y="0"/>
            <wp:positionH relativeFrom="column">
              <wp:posOffset>3803015</wp:posOffset>
            </wp:positionH>
            <wp:positionV relativeFrom="paragraph">
              <wp:posOffset>48895</wp:posOffset>
            </wp:positionV>
            <wp:extent cx="2138680" cy="2052955"/>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2052955"/>
                    </a:xfrm>
                    <a:prstGeom prst="rect">
                      <a:avLst/>
                    </a:prstGeom>
                    <a:noFill/>
                  </pic:spPr>
                </pic:pic>
              </a:graphicData>
            </a:graphic>
            <wp14:sizeRelH relativeFrom="page">
              <wp14:pctWidth>0</wp14:pctWidth>
            </wp14:sizeRelH>
            <wp14:sizeRelV relativeFrom="page">
              <wp14:pctHeight>0</wp14:pctHeight>
            </wp14:sizeRelV>
          </wp:anchor>
        </w:drawing>
      </w:r>
      <w:r>
        <w:t>D</w:t>
      </w:r>
      <w:r w:rsidR="00104C4E">
        <w:t xml:space="preserve">urchführung: </w:t>
      </w:r>
      <w:r w:rsidR="00104C4E">
        <w:tab/>
      </w:r>
      <w:r w:rsidR="00104C4E">
        <w:tab/>
      </w:r>
      <w:r w:rsidR="00104C4E">
        <w:tab/>
        <w:t>In das 1. Reagenzglas werden wenige Milliliter Wasser gefüllt, anschli</w:t>
      </w:r>
      <w:r w:rsidR="00104C4E">
        <w:t>e</w:t>
      </w:r>
      <w:r w:rsidR="00104C4E">
        <w:t xml:space="preserve">ßend gibt man ca. 0,5 mL des Öls hinzu. Das Reagenzglas wird mit einem Stopfen verschlossen und kräftig </w:t>
      </w:r>
      <w:bookmarkStart w:id="0" w:name="_GoBack"/>
      <w:bookmarkEnd w:id="0"/>
      <w:r w:rsidR="00104C4E">
        <w:t>für einige S</w:t>
      </w:r>
      <w:r w:rsidR="00104C4E">
        <w:t>e</w:t>
      </w:r>
      <w:r w:rsidR="00104C4E">
        <w:t>kunden geschüttelt. Analog wird mit dem 2. Reagenzglas verfahren. Jedoch werden vor dem Schütteln noch einige Tropfen Spülmittel zug</w:t>
      </w:r>
      <w:r w:rsidR="00104C4E">
        <w:t>e</w:t>
      </w:r>
      <w:r w:rsidR="00104C4E">
        <w:t>setzt.</w:t>
      </w:r>
    </w:p>
    <w:p w:rsidR="00104C4E" w:rsidRDefault="00104C4E" w:rsidP="00104C4E">
      <w:pPr>
        <w:tabs>
          <w:tab w:val="left" w:pos="1701"/>
          <w:tab w:val="left" w:pos="1985"/>
        </w:tabs>
        <w:ind w:left="1980" w:hanging="1980"/>
      </w:pPr>
      <w:r>
        <w:t>Beobachtung:</w:t>
      </w:r>
      <w:r>
        <w:tab/>
      </w:r>
      <w:r>
        <w:tab/>
      </w:r>
      <w:r>
        <w:tab/>
        <w:t>Direkt nach dem Schütteln weist der Inhalt beider Reagenzgläser eine tr</w:t>
      </w:r>
      <w:r>
        <w:t>ü</w:t>
      </w:r>
      <w:r>
        <w:t>be, milchige Färbung auf. Nach einigen Minuten Wartezeit setzt sich das Öl im Reagenzglas 1 wieder auf dem Wasser ab. In Reagenzglas 2 bleibt die milchig trübe Flüssigkeit erhalten. Zudem lassen sich Schaumblasen beo</w:t>
      </w:r>
      <w:r>
        <w:t>b</w:t>
      </w:r>
      <w:r>
        <w:t>achten.</w:t>
      </w:r>
    </w:p>
    <w:p w:rsidR="00104C4E" w:rsidRDefault="00104C4E" w:rsidP="00104C4E">
      <w:pPr>
        <w:tabs>
          <w:tab w:val="left" w:pos="1701"/>
          <w:tab w:val="left" w:pos="1985"/>
        </w:tabs>
        <w:ind w:left="1980" w:hanging="1980"/>
        <w:jc w:val="center"/>
      </w:pPr>
      <w:r>
        <w:rPr>
          <w:noProof/>
          <w:lang w:eastAsia="de-DE"/>
        </w:rPr>
        <w:lastRenderedPageBreak/>
        <w:drawing>
          <wp:inline distT="0" distB="0" distL="0" distR="0">
            <wp:extent cx="4209415" cy="3166110"/>
            <wp:effectExtent l="0" t="0" r="635" b="0"/>
            <wp:docPr id="2" name="Grafik 2" descr="F:\DCIM\100CANON\IMG_4537.JPG"/>
            <wp:cNvGraphicFramePr/>
            <a:graphic xmlns:a="http://schemas.openxmlformats.org/drawingml/2006/main">
              <a:graphicData uri="http://schemas.openxmlformats.org/drawingml/2006/picture">
                <pic:pic xmlns:pic="http://schemas.openxmlformats.org/drawingml/2006/picture">
                  <pic:nvPicPr>
                    <pic:cNvPr id="5" name="Bild 2" descr="F:\DCIM\100CANON\IMG_4537.JPG"/>
                    <pic:cNvPicPr/>
                  </pic:nvPicPr>
                  <pic:blipFill>
                    <a:blip r:embed="rId10"/>
                    <a:srcRect/>
                    <a:stretch>
                      <a:fillRect/>
                    </a:stretch>
                  </pic:blipFill>
                  <pic:spPr bwMode="auto">
                    <a:xfrm>
                      <a:off x="0" y="0"/>
                      <a:ext cx="4213225" cy="3160395"/>
                    </a:xfrm>
                    <a:prstGeom prst="rect">
                      <a:avLst/>
                    </a:prstGeom>
                    <a:ln>
                      <a:noFill/>
                    </a:ln>
                    <a:effectLst>
                      <a:softEdge rad="112500"/>
                    </a:effectLst>
                  </pic:spPr>
                </pic:pic>
              </a:graphicData>
            </a:graphic>
          </wp:inline>
        </w:drawing>
      </w:r>
    </w:p>
    <w:p w:rsidR="00104C4E" w:rsidRDefault="00104C4E" w:rsidP="00104C4E">
      <w:pPr>
        <w:pStyle w:val="Beschriftung"/>
        <w:jc w:val="center"/>
      </w:pPr>
      <w:r>
        <w:t xml:space="preserve">Abb. 1 - </w:t>
      </w:r>
      <w:r>
        <w:rPr>
          <w:noProof/>
        </w:rPr>
        <w:t xml:space="preserve"> Reagenzglas 1 mit Wasser und Öl (links), Reagenzglas 2 mit Wasser, Öl und Spülmittel. </w:t>
      </w:r>
    </w:p>
    <w:p w:rsidR="00104C4E" w:rsidRDefault="00104C4E" w:rsidP="00104C4E">
      <w:pPr>
        <w:tabs>
          <w:tab w:val="left" w:pos="1701"/>
          <w:tab w:val="left" w:pos="1985"/>
        </w:tabs>
        <w:ind w:left="1980" w:hanging="1980"/>
      </w:pPr>
      <w:r>
        <w:t>Deutung:</w:t>
      </w:r>
      <w:r>
        <w:tab/>
      </w:r>
      <w:r>
        <w:tab/>
        <w:t>Klares Wasser kann nur Schmutz entfernen, der sich abspülen lässt und wasserlöslich ist. Öl jedoch ist nicht wasserlöslich, daher setzt es sich nach einiger Zeit wieder auf dem Wasser ab. Viele Verschmutzungen sind fet</w:t>
      </w:r>
      <w:r>
        <w:t>t</w:t>
      </w:r>
      <w:r>
        <w:t>haltig und können deshalb nicht mit Wasser allein entfernt werden. Es werden daher Stoffe benötigt, die zwischen Fett und Wasser „vermitteln“ (</w:t>
      </w:r>
      <w:r>
        <w:rPr>
          <w:b/>
        </w:rPr>
        <w:t>Emulgatoren</w:t>
      </w:r>
      <w:r>
        <w:t>) können. Seifen können dies. Durch Schütteln entstehen kleine Fetttröpfchen in der Spülmittellösung (</w:t>
      </w:r>
      <w:r>
        <w:rPr>
          <w:b/>
        </w:rPr>
        <w:t>Emulsion</w:t>
      </w:r>
      <w:r>
        <w:t>). Beim Waschvo</w:t>
      </w:r>
      <w:r>
        <w:t>r</w:t>
      </w:r>
      <w:r>
        <w:t xml:space="preserve">gang können diese (emulgierten) Fetttröpfchen anschließend mit dem Wasser fortgespült werden. </w:t>
      </w:r>
    </w:p>
    <w:p w:rsidR="00104C4E" w:rsidRDefault="00104C4E" w:rsidP="00104C4E">
      <w:pPr>
        <w:ind w:left="1980" w:hanging="1980"/>
        <w:rPr>
          <w:rFonts w:asciiTheme="majorHAnsi" w:hAnsiTheme="majorHAnsi"/>
          <w:color w:val="auto"/>
        </w:rPr>
      </w:pPr>
      <w:r>
        <w:t>Literatur:</w:t>
      </w:r>
      <w:r>
        <w:tab/>
      </w:r>
      <w:proofErr w:type="spellStart"/>
      <w:r>
        <w:rPr>
          <w:rFonts w:asciiTheme="majorHAnsi" w:hAnsiTheme="majorHAnsi"/>
        </w:rPr>
        <w:t>Jahnke-Klein</w:t>
      </w:r>
      <w:proofErr w:type="spellEnd"/>
      <w:r>
        <w:rPr>
          <w:rFonts w:asciiTheme="majorHAnsi" w:hAnsiTheme="majorHAnsi"/>
        </w:rPr>
        <w:t xml:space="preserve">, S. (kein Datum). </w:t>
      </w:r>
      <w:hyperlink r:id="rId11" w:history="1">
        <w:r>
          <w:rPr>
            <w:rStyle w:val="Hyperlink"/>
            <w:rFonts w:asciiTheme="majorHAnsi" w:hAnsiTheme="majorHAnsi"/>
            <w:i/>
            <w:color w:val="auto"/>
          </w:rPr>
          <w:t>http://www.genderundschule.de</w:t>
        </w:r>
      </w:hyperlink>
      <w:r>
        <w:rPr>
          <w:rFonts w:asciiTheme="majorHAnsi" w:hAnsiTheme="majorHAnsi"/>
          <w:color w:val="auto"/>
        </w:rPr>
        <w:t>. Abgerufen am 25. September 2012.</w:t>
      </w:r>
    </w:p>
    <w:p w:rsidR="00104C4E" w:rsidRDefault="00104C4E" w:rsidP="00104C4E">
      <w:pPr>
        <w:tabs>
          <w:tab w:val="left" w:pos="1701"/>
          <w:tab w:val="left" w:pos="1985"/>
        </w:tabs>
        <w:ind w:left="1980" w:hanging="1980"/>
      </w:pPr>
      <w:r>
        <w:rPr>
          <w:noProof/>
          <w:lang w:eastAsia="de-DE"/>
        </w:rPr>
        <mc:AlternateContent>
          <mc:Choice Requires="wps">
            <w:drawing>
              <wp:inline distT="0" distB="0" distL="0" distR="0">
                <wp:extent cx="5873115" cy="573405"/>
                <wp:effectExtent l="9525" t="9525" r="13335" b="7620"/>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4C4E" w:rsidRDefault="00104C4E" w:rsidP="00104C4E">
                            <w:pPr>
                              <w:rPr>
                                <w:color w:val="auto"/>
                              </w:rPr>
                            </w:pPr>
                            <w:r>
                              <w:rPr>
                                <w:color w:val="auto"/>
                              </w:rPr>
                              <w:t xml:space="preserve">Dieser Versuch bietet sich an, um den Fachbegriff </w:t>
                            </w:r>
                            <w:r>
                              <w:rPr>
                                <w:b/>
                                <w:color w:val="auto"/>
                              </w:rPr>
                              <w:t>Emulsion</w:t>
                            </w:r>
                            <w:r>
                              <w:rPr>
                                <w:color w:val="auto"/>
                              </w:rPr>
                              <w:t xml:space="preserve"> einzuführen. Ein Alltagsbeispiel für eine Emulsion ist </w:t>
                            </w:r>
                            <w:proofErr w:type="spellStart"/>
                            <w:r>
                              <w:rPr>
                                <w:color w:val="auto"/>
                              </w:rPr>
                              <w:t>z.B</w:t>
                            </w:r>
                            <w:proofErr w:type="spellEnd"/>
                            <w:r>
                              <w:rPr>
                                <w:color w:val="auto"/>
                              </w:rPr>
                              <w:t xml:space="preserve">. Milch.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3" o:spid="_x0000_s1026"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" fillcolor="white [3201]" strokecolor="#c0504d [3205]" strokeweight="1pt">
                <v:stroke dashstyle="dash"/>
                <v:shadow color="#868686"/>
                <v:textbox>
                  <w:txbxContent>
                    <w:p w:rsidR="00104C4E" w:rsidRDefault="00104C4E" w:rsidP="00104C4E">
                      <w:pPr>
                        <w:rPr>
                          <w:color w:val="auto"/>
                        </w:rPr>
                      </w:pPr>
                      <w:r>
                        <w:rPr>
                          <w:color w:val="auto"/>
                        </w:rPr>
                        <w:t xml:space="preserve">Dieser Versuch bietet sich an, um den Fachbegriff </w:t>
                      </w:r>
                      <w:r>
                        <w:rPr>
                          <w:b/>
                          <w:color w:val="auto"/>
                        </w:rPr>
                        <w:t>Emulsion</w:t>
                      </w:r>
                      <w:r>
                        <w:rPr>
                          <w:color w:val="auto"/>
                        </w:rPr>
                        <w:t xml:space="preserve"> einzuführen. Ein Alltagsbeispiel für eine Emulsion ist </w:t>
                      </w:r>
                      <w:proofErr w:type="spellStart"/>
                      <w:r>
                        <w:rPr>
                          <w:color w:val="auto"/>
                        </w:rPr>
                        <w:t>z.B</w:t>
                      </w:r>
                      <w:proofErr w:type="spellEnd"/>
                      <w:r>
                        <w:rPr>
                          <w:color w:val="auto"/>
                        </w:rPr>
                        <w:t xml:space="preserve">. Milch.    </w:t>
                      </w:r>
                    </w:p>
                  </w:txbxContent>
                </v:textbox>
                <w10:anchorlock/>
              </v:shape>
            </w:pict>
          </mc:Fallback>
        </mc:AlternateContent>
      </w:r>
    </w:p>
    <w:p w:rsidR="00BE6DD9" w:rsidRPr="00104C4E" w:rsidRDefault="00BE6DD9" w:rsidP="00104C4E"/>
    <w:sectPr w:rsidR="00BE6DD9" w:rsidRPr="00104C4E" w:rsidSect="00105256">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EC7" w:rsidRDefault="00522EC7" w:rsidP="009524CC">
      <w:pPr>
        <w:spacing w:after="0"/>
      </w:pPr>
      <w:r>
        <w:separator/>
      </w:r>
    </w:p>
  </w:endnote>
  <w:endnote w:type="continuationSeparator" w:id="0">
    <w:p w:rsidR="00522EC7" w:rsidRDefault="00522EC7"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EC7" w:rsidRDefault="00522EC7" w:rsidP="009524CC">
      <w:pPr>
        <w:spacing w:after="0"/>
      </w:pPr>
      <w:r>
        <w:separator/>
      </w:r>
    </w:p>
  </w:footnote>
  <w:footnote w:type="continuationSeparator" w:id="0">
    <w:p w:rsidR="00522EC7" w:rsidRDefault="00522EC7"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8F2B6A" w:rsidRPr="008F2B6A">
            <w:rPr>
              <w:b/>
              <w:bCs/>
              <w:noProof/>
              <w:sz w:val="20"/>
              <w:szCs w:val="20"/>
            </w:rPr>
            <w:t>V 1 – Seifen sind Emulgatoren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8F2B6A">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4C4E"/>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5F04"/>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2EC7"/>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4E8E"/>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2B6A"/>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95882">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61416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nderundschule.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824FF-87BA-4DB2-B6F2-48407238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1448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4</cp:revision>
  <cp:lastPrinted>2012-06-21T19:47:00Z</cp:lastPrinted>
  <dcterms:created xsi:type="dcterms:W3CDTF">2013-07-02T12:54:00Z</dcterms:created>
  <dcterms:modified xsi:type="dcterms:W3CDTF">2013-07-08T15:13:00Z</dcterms:modified>
</cp:coreProperties>
</file>