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8D" w:rsidRDefault="00CB3D8D" w:rsidP="00CB3D8D">
      <w:pPr>
        <w:pStyle w:val="berschrift1"/>
        <w:numPr>
          <w:ilvl w:val="0"/>
          <w:numId w:val="0"/>
        </w:numPr>
      </w:pPr>
      <w:bookmarkStart w:id="0" w:name="_Toc336799444"/>
      <w:r>
        <w:t>V 1 – Eisen(III)</w:t>
      </w:r>
      <w:proofErr w:type="spellStart"/>
      <w:r>
        <w:t>chlorid</w:t>
      </w:r>
      <w:proofErr w:type="spellEnd"/>
      <w:r>
        <w:t xml:space="preserve"> als Flockungsmittel zur Wasserreinigung</w:t>
      </w:r>
      <w:bookmarkEnd w:id="0"/>
    </w:p>
    <w:p w:rsidR="00CB3D8D" w:rsidRDefault="00CB3D8D" w:rsidP="00CB3D8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73025</wp:posOffset>
                </wp:positionV>
                <wp:extent cx="5873115" cy="796925"/>
                <wp:effectExtent l="8890" t="6350" r="13970" b="635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D8D" w:rsidRDefault="00CB3D8D" w:rsidP="00CB3D8D">
                            <w:r>
                              <w:t>Eisen(III)-</w:t>
                            </w:r>
                            <w:proofErr w:type="spellStart"/>
                            <w:r>
                              <w:t>chlorid</w:t>
                            </w:r>
                            <w:proofErr w:type="spellEnd"/>
                            <w:r>
                              <w:t xml:space="preserve"> wird als Flockungsmittel in der chemischen Reinigung vieler Kläranlagen eingesetzt. Der Versuch eignet sich, um das Phänomen der Adsorption zu veranschaulichen.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-14.3pt;margin-top:5.75pt;width:462.4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CB3D8D" w:rsidRDefault="00CB3D8D" w:rsidP="00CB3D8D">
                      <w:r>
                        <w:t>Eisen(III)-</w:t>
                      </w:r>
                      <w:proofErr w:type="spellStart"/>
                      <w:r>
                        <w:t>chlorid</w:t>
                      </w:r>
                      <w:proofErr w:type="spellEnd"/>
                      <w:r>
                        <w:t xml:space="preserve"> wird als Flockungsmittel in der chemischen Reinigung vieler Kläranlagen eingesetzt. Der Versuch eignet sich, um das Phänomen der Adsorption zu veranschaulichen.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HelleSchattierung-Akzent11"/>
        <w:tblW w:w="9771" w:type="dxa"/>
        <w:tblLook w:val="04A0" w:firstRow="1" w:lastRow="0" w:firstColumn="1" w:lastColumn="0" w:noHBand="0" w:noVBand="1"/>
      </w:tblPr>
      <w:tblGrid>
        <w:gridCol w:w="2724"/>
        <w:gridCol w:w="219"/>
        <w:gridCol w:w="1334"/>
        <w:gridCol w:w="2443"/>
        <w:gridCol w:w="3051"/>
      </w:tblGrid>
      <w:tr w:rsidR="00CB3D8D" w:rsidTr="00CB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tcBorders>
              <w:left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/>
              <w:jc w:val="center"/>
              <w:rPr>
                <w:color w:val="1D1B11" w:themeColor="background2" w:themeShade="1A"/>
                <w:sz w:val="20"/>
              </w:rPr>
            </w:pPr>
            <w:r>
              <w:rPr>
                <w:sz w:val="20"/>
              </w:rPr>
              <w:t>Gefahrenstoffe</w:t>
            </w:r>
          </w:p>
        </w:tc>
        <w:tc>
          <w:tcPr>
            <w:tcW w:w="305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B3D8D" w:rsidRDefault="00CB3D8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21030" cy="664210"/>
                  <wp:effectExtent l="0" t="0" r="7620" b="2540"/>
                  <wp:docPr id="4" name="Grafik 4" descr="GHS-Piktogramme -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0" descr="GHS-Piktogramme -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638175" cy="647065"/>
                  <wp:effectExtent l="0" t="0" r="9525" b="635"/>
                  <wp:docPr id="3" name="Grafik 3" descr="GHS-Piktogramme - 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3" descr="GHS-Piktogramme - 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B3D8D" w:rsidTr="00CB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ind w:right="-180"/>
              <w:jc w:val="center"/>
              <w:rPr>
                <w:b w:val="0"/>
                <w:color w:val="1D1B11" w:themeColor="background2" w:themeShade="1A"/>
                <w:sz w:val="20"/>
              </w:rPr>
            </w:pPr>
            <w:r>
              <w:rPr>
                <w:b w:val="0"/>
              </w:rPr>
              <w:t>Eisen(III)</w:t>
            </w:r>
            <w:proofErr w:type="spellStart"/>
            <w:r>
              <w:rPr>
                <w:b w:val="0"/>
              </w:rPr>
              <w:t>chlorid</w:t>
            </w:r>
            <w:proofErr w:type="spellEnd"/>
            <w:r>
              <w:rPr>
                <w:b w:val="0"/>
              </w:rPr>
              <w:t>∙hexahydrat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302, 315, 318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>
              <w:t>280</w:t>
            </w:r>
            <w:r>
              <w:rPr>
                <w:color w:val="auto"/>
                <w:sz w:val="20"/>
              </w:rPr>
              <w:t>, 302</w:t>
            </w:r>
            <w:r>
              <w:t>+352, 305+351+338, 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  <w:tr w:rsidR="00CB3D8D" w:rsidTr="00CB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ind w:right="-180"/>
              <w:jc w:val="center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</w:rPr>
              <w:t>Natriumcarbonat</w:t>
            </w:r>
            <w:proofErr w:type="spellEnd"/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H: </w:t>
            </w:r>
            <w:r>
              <w:t>319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76" w:lineRule="auto"/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P: </w:t>
            </w:r>
            <w:r>
              <w:t>260, 305+351+338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D8D" w:rsidRDefault="00CB3D8D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FF"/>
                <w:lang w:eastAsia="de-DE"/>
              </w:rPr>
            </w:pPr>
          </w:p>
        </w:tc>
      </w:tr>
    </w:tbl>
    <w:p w:rsidR="00CB3D8D" w:rsidRDefault="00CB3D8D" w:rsidP="00CB3D8D">
      <w:pPr>
        <w:tabs>
          <w:tab w:val="left" w:pos="1701"/>
          <w:tab w:val="left" w:pos="1985"/>
        </w:tabs>
        <w:ind w:left="1980" w:hanging="1980"/>
        <w:rPr>
          <w:rFonts w:cstheme="minorBidi"/>
          <w:color w:val="1D1B11" w:themeColor="background2" w:themeShade="1A"/>
        </w:rPr>
      </w:pP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 xml:space="preserve">Voraussetzungen: </w:t>
      </w:r>
      <w:r>
        <w:tab/>
        <w:t xml:space="preserve">An dieser Stelle sollten die SuS bereits festgestellt haben, dass allein die mechanische und biologische Reinigung das </w:t>
      </w:r>
      <w:proofErr w:type="spellStart"/>
      <w:r>
        <w:t>Abwaser</w:t>
      </w:r>
      <w:proofErr w:type="spellEnd"/>
      <w:r>
        <w:t xml:space="preserve"> nicht von allen Ve</w:t>
      </w:r>
      <w:r>
        <w:t>r</w:t>
      </w:r>
      <w:r>
        <w:t>unreinigungen befreien kann.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Bechergläser (100 mL),  </w:t>
      </w:r>
      <w:proofErr w:type="spellStart"/>
      <w:r>
        <w:t>Bercherglas</w:t>
      </w:r>
      <w:proofErr w:type="spellEnd"/>
      <w:r>
        <w:t xml:space="preserve"> (250 mL), Spatel, Rührstab. 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Eisen(III)</w:t>
      </w:r>
      <w:proofErr w:type="spellStart"/>
      <w:r>
        <w:t>chlorid</w:t>
      </w:r>
      <w:proofErr w:type="spellEnd"/>
      <w:r>
        <w:t>∙hexahydrat (FeCl</w:t>
      </w:r>
      <w:r>
        <w:rPr>
          <w:vertAlign w:val="subscript"/>
        </w:rPr>
        <w:t>3</w:t>
      </w:r>
      <w:r>
        <w:t>∙6H</w:t>
      </w:r>
      <w:r>
        <w:rPr>
          <w:vertAlign w:val="subscript"/>
        </w:rPr>
        <w:t>2</w:t>
      </w:r>
      <w:r>
        <w:t xml:space="preserve">O), </w:t>
      </w:r>
      <w:proofErr w:type="spellStart"/>
      <w:r>
        <w:t>Natriumcarbonat</w:t>
      </w:r>
      <w:proofErr w:type="spellEnd"/>
      <w:r>
        <w:t xml:space="preserve"> 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), Stärke, dem. Wasser.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Ein Becherglas (250 mL) wird zur Hälfte mit Wasser gefüllt. Zu diesem wird ein Spatel Stärke gegeben. Danach wird ein Spatel </w:t>
      </w:r>
      <w:proofErr w:type="spellStart"/>
      <w:r>
        <w:t>Natriumcarbonat</w:t>
      </w:r>
      <w:proofErr w:type="spellEnd"/>
      <w:r>
        <w:t xml:space="preserve"> hinzugegeben. Ein wenig der Lösung wird als Vergleichsprobe abgetrennt. Anschließend werden 500 mg Eisen(III)</w:t>
      </w:r>
      <w:proofErr w:type="spellStart"/>
      <w:r>
        <w:t>chlorid</w:t>
      </w:r>
      <w:proofErr w:type="spellEnd"/>
      <w:r>
        <w:t>∙hexahydrat in 100 mL dem. Wasser gelöst. Zu der alkalischen Stärkelösung werden unter Rühren langsam 50 mL der gerade hergestellten Eisen(III)</w:t>
      </w:r>
      <w:proofErr w:type="spellStart"/>
      <w:r>
        <w:t>lösung</w:t>
      </w:r>
      <w:proofErr w:type="spellEnd"/>
      <w:r>
        <w:t xml:space="preserve"> gegeben. Die L</w:t>
      </w:r>
      <w:r>
        <w:t>ö</w:t>
      </w:r>
      <w:r>
        <w:t>sung wird wenige Minuten unter Beobachtung stehen gelassen.</w:t>
      </w:r>
      <w:r>
        <w:tab/>
      </w:r>
      <w:r>
        <w:tab/>
        <w:t xml:space="preserve"> 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Schnell bilden sich orange-braune Flocken, die sich nach einiger Zeit zum Reagenzglasboden absenken. Die Trübung der Stärkelösung nimmt ab.</w:t>
      </w:r>
    </w:p>
    <w:p w:rsidR="00CB3D8D" w:rsidRDefault="00CB3D8D" w:rsidP="00CB3D8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569720" cy="2096135"/>
            <wp:effectExtent l="0" t="0" r="0" b="0"/>
            <wp:docPr id="2" name="Grafik 2" descr="DSCF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DSCF19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8D" w:rsidRDefault="00CB3D8D" w:rsidP="00CB3D8D">
      <w:pPr>
        <w:pStyle w:val="Beschriftung"/>
        <w:jc w:val="center"/>
      </w:pPr>
      <w:r>
        <w:t>Abb. 2 –</w:t>
      </w:r>
      <w:r>
        <w:rPr>
          <w:noProof/>
        </w:rPr>
        <w:t xml:space="preserve"> Flockenbildung und Klärung der Lösung nach Zugabe der Eisen</w:t>
      </w:r>
      <w:r>
        <w:t>(III)</w:t>
      </w:r>
      <w:proofErr w:type="spellStart"/>
      <w:r>
        <w:rPr>
          <w:noProof/>
        </w:rPr>
        <w:t>chlordlösung</w:t>
      </w:r>
      <w:proofErr w:type="spellEnd"/>
      <w:r>
        <w:rPr>
          <w:noProof/>
        </w:rPr>
        <w:t>.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Eisen(III)-Salze bilden mit Wasser unlösliche voluminöse Flocken. Die große Oberfläche und die kristalline Struktur verleihen den Flocken ein großes Adsorptionsvermögen. Beim Herabsinken der Flocken wird die L</w:t>
      </w:r>
      <w:r>
        <w:t>ö</w:t>
      </w:r>
      <w:r>
        <w:t>sung von der Stärke geklärt.</w:t>
      </w:r>
      <w:r>
        <w:tab/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803910"/>
                <wp:effectExtent l="9525" t="9525" r="13335" b="1524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03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D8D" w:rsidRDefault="00CB3D8D" w:rsidP="00CB3D8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t>Ist den SUS bereits der Stärkenachweis mittels Iod-Kaliumiodidlösung bekannt, kann die L</w:t>
                            </w:r>
                            <w:r>
                              <w:t>ö</w:t>
                            </w:r>
                            <w:r>
                              <w:t xml:space="preserve">sung auf Anwesenheit von Stärke untersucht werden. Nach kurzer Zeit kann keine Stärke mehr in der Lösung  nachgewiesen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7" o:spid="_x0000_s1027" type="#_x0000_t202" style="width:462.4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CB3D8D" w:rsidRDefault="00CB3D8D" w:rsidP="00CB3D8D">
                      <w:pPr>
                        <w:rPr>
                          <w:color w:val="1F497D" w:themeColor="text2"/>
                        </w:rPr>
                      </w:pPr>
                      <w:r>
                        <w:t>Ist den SUS bereits der Stärkenachweis mittels Iod-Kaliumiodidlösung bekannt, kann die L</w:t>
                      </w:r>
                      <w:r>
                        <w:t>ö</w:t>
                      </w:r>
                      <w:r>
                        <w:t xml:space="preserve">sung auf Anwesenheit von Stärke untersucht werden. Nach kurzer Zeit kann keine Stärke mehr in der Lösung  nachgewiesen werden.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t>Entsorgung: Die Flocken sollten abfiltriert und in den Feststoffbehälter gegeben werden.</w:t>
      </w:r>
    </w:p>
    <w:p w:rsidR="00CB3D8D" w:rsidRDefault="00CB3D8D" w:rsidP="00CB3D8D">
      <w:pPr>
        <w:ind w:left="1980" w:hanging="1980"/>
        <w:jc w:val="left"/>
      </w:pPr>
      <w:r>
        <w:t>Literatur:</w:t>
      </w:r>
      <w:r>
        <w:tab/>
      </w:r>
      <w:proofErr w:type="spellStart"/>
      <w:r>
        <w:t>Schmidkunz</w:t>
      </w:r>
      <w:proofErr w:type="spellEnd"/>
      <w:r>
        <w:t xml:space="preserve">, H. (2011). </w:t>
      </w:r>
      <w:r>
        <w:rPr>
          <w:iCs/>
        </w:rPr>
        <w:t>Chemische Freihandversuche</w:t>
      </w:r>
      <w:r>
        <w:rPr>
          <w:i/>
          <w:iCs/>
        </w:rPr>
        <w:t xml:space="preserve">. </w:t>
      </w:r>
      <w:r>
        <w:t xml:space="preserve">Hallbergmoos: </w:t>
      </w:r>
      <w:proofErr w:type="spellStart"/>
      <w:r>
        <w:t>A</w:t>
      </w:r>
      <w:r>
        <w:t>u</w:t>
      </w:r>
      <w:r>
        <w:t>lis-Verlag</w:t>
      </w:r>
      <w:proofErr w:type="spellEnd"/>
      <w:r>
        <w:t xml:space="preserve"> BASF (2010)http://www.basf.com/group/corporate/site-ludwigshafen/de/function/conversions:/ publish/content/about-basf/worldwide/europe/Ludwigshafen/Education/Lernen_mit_der_BASF/images/Experimente_Wasser_2012.pdf</w:t>
      </w:r>
      <w:r>
        <w:tab/>
      </w:r>
    </w:p>
    <w:p w:rsidR="00CB3D8D" w:rsidRDefault="00CB3D8D" w:rsidP="00CB3D8D">
      <w:pPr>
        <w:ind w:left="1980"/>
        <w:jc w:val="left"/>
      </w:pPr>
      <w:proofErr w:type="spellStart"/>
      <w:r>
        <w:rPr>
          <w:rStyle w:val="fn"/>
        </w:rPr>
        <w:t>Keune</w:t>
      </w:r>
      <w:proofErr w:type="spellEnd"/>
      <w:r>
        <w:rPr>
          <w:rStyle w:val="fn"/>
        </w:rPr>
        <w:t xml:space="preserve"> H., </w:t>
      </w:r>
      <w:proofErr w:type="spellStart"/>
      <w:r>
        <w:rPr>
          <w:rStyle w:val="fn"/>
        </w:rPr>
        <w:t>Böhlhand</w:t>
      </w:r>
      <w:proofErr w:type="spellEnd"/>
      <w:r>
        <w:rPr>
          <w:rStyle w:val="fn"/>
        </w:rPr>
        <w:t xml:space="preserve"> H. (2002). Chemische Schulexperimente. 3. Allgeme</w:t>
      </w:r>
      <w:r>
        <w:rPr>
          <w:rStyle w:val="fn"/>
        </w:rPr>
        <w:t>i</w:t>
      </w:r>
      <w:r>
        <w:rPr>
          <w:rStyle w:val="fn"/>
        </w:rPr>
        <w:t>ne, physikalische und analytische Chemie - Chemie und Umwelt. Corne</w:t>
      </w:r>
      <w:r>
        <w:rPr>
          <w:rStyle w:val="fn"/>
        </w:rPr>
        <w:t>l</w:t>
      </w:r>
      <w:r>
        <w:rPr>
          <w:rStyle w:val="fn"/>
        </w:rPr>
        <w:t>sen: Volks und Wissen Verlag.</w:t>
      </w:r>
    </w:p>
    <w:p w:rsidR="00CB3D8D" w:rsidRDefault="00CB3D8D" w:rsidP="00CB3D8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>
                <wp:extent cx="5873115" cy="1349375"/>
                <wp:effectExtent l="9525" t="9525" r="13335" b="1270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49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D8D" w:rsidRDefault="00CB3D8D" w:rsidP="00CB3D8D">
                            <w:r>
                              <w:t>Alternativ zu Eisen(III)</w:t>
                            </w:r>
                            <w:proofErr w:type="spellStart"/>
                            <w:r>
                              <w:t>chlorid</w:t>
                            </w:r>
                            <w:proofErr w:type="spellEnd"/>
                            <w:r>
                              <w:t xml:space="preserve"> können auch Eisen(III)- oder Aluminiumsulfat als Flockungsmi</w:t>
                            </w:r>
                            <w:r>
                              <w:t>t</w:t>
                            </w:r>
                            <w:r>
                              <w:t>tel verwendet werden. Obwohl auch eine trübe Kernseifen- oder Methylenblaulösung als „Wa</w:t>
                            </w:r>
                            <w:r>
                              <w:t>s</w:t>
                            </w:r>
                            <w:r>
                              <w:t>serverschmutzung“ eingesetzt werden können, ist das Ergebnis mit Stärkelösung am deutlich</w:t>
                            </w:r>
                            <w:r>
                              <w:t>s</w:t>
                            </w:r>
                            <w:r>
                              <w:t>ten. In diesem Kontext bietet es sich an auch die Adsorption mittels Aktivkohle zu demonstri</w:t>
                            </w:r>
                            <w:r>
                              <w:t>e</w:t>
                            </w:r>
                            <w:r>
                              <w:t xml:space="preserve">ren. </w:t>
                            </w:r>
                            <w:proofErr w:type="spellStart"/>
                            <w:r>
                              <w:t>Darüberhinaus</w:t>
                            </w:r>
                            <w:proofErr w:type="spellEnd"/>
                            <w:r>
                              <w:t xml:space="preserve"> eignen sich Eisen(III)salze auch zur Fällung von Phosphaten.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" o:spid="_x0000_s1028" type="#_x0000_t202" style="width:462.45pt;height:1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CB3D8D" w:rsidRDefault="00CB3D8D" w:rsidP="00CB3D8D">
                      <w:r>
                        <w:t>Alternativ zu Eisen(III)</w:t>
                      </w:r>
                      <w:proofErr w:type="spellStart"/>
                      <w:r>
                        <w:t>chlorid</w:t>
                      </w:r>
                      <w:proofErr w:type="spellEnd"/>
                      <w:r>
                        <w:t xml:space="preserve"> können auch Eisen(III)- oder Aluminiumsulfat als Flockungsmi</w:t>
                      </w:r>
                      <w:r>
                        <w:t>t</w:t>
                      </w:r>
                      <w:r>
                        <w:t>tel verwendet werden. Obwohl auch eine trübe Kernseifen- oder Methylenblaulösung als „Wa</w:t>
                      </w:r>
                      <w:r>
                        <w:t>s</w:t>
                      </w:r>
                      <w:r>
                        <w:t>serverschmutzung“ eingesetzt werden können, ist das Ergebnis mit Stärkelösung am deutlich</w:t>
                      </w:r>
                      <w:r>
                        <w:t>s</w:t>
                      </w:r>
                      <w:r>
                        <w:t>ten. In diesem Kontext bietet es sich an auch die Adsorption mittels Aktivkohle zu demonstri</w:t>
                      </w:r>
                      <w:r>
                        <w:t>e</w:t>
                      </w:r>
                      <w:r>
                        <w:t xml:space="preserve">ren. </w:t>
                      </w:r>
                      <w:proofErr w:type="spellStart"/>
                      <w:r>
                        <w:t>Darüberhinaus</w:t>
                      </w:r>
                      <w:proofErr w:type="spellEnd"/>
                      <w:r>
                        <w:t xml:space="preserve"> eignen sich Eisen(III)salze auch zur Fällung von Phosphaten.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CB3D8D" w:rsidRDefault="00BE6DD9" w:rsidP="00CB3D8D">
      <w:bookmarkStart w:id="1" w:name="_GoBack"/>
      <w:bookmarkEnd w:id="1"/>
    </w:p>
    <w:sectPr w:rsidR="00BE6DD9" w:rsidRPr="00CB3D8D" w:rsidSect="001052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27" w:rsidRDefault="00041C27" w:rsidP="009524CC">
      <w:pPr>
        <w:spacing w:after="0"/>
      </w:pPr>
      <w:r>
        <w:separator/>
      </w:r>
    </w:p>
  </w:endnote>
  <w:endnote w:type="continuationSeparator" w:id="0">
    <w:p w:rsidR="00041C27" w:rsidRDefault="00041C27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27" w:rsidRDefault="00041C27" w:rsidP="009524CC">
      <w:pPr>
        <w:spacing w:after="0"/>
      </w:pPr>
      <w:r>
        <w:separator/>
      </w:r>
    </w:p>
  </w:footnote>
  <w:footnote w:type="continuationSeparator" w:id="0">
    <w:p w:rsidR="00041C27" w:rsidRDefault="00041C27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="00CB3D8D">
            <w:rPr>
              <w:sz w:val="20"/>
              <w:szCs w:val="20"/>
            </w:rPr>
            <w:fldChar w:fldCharType="separate"/>
          </w:r>
          <w:r w:rsidR="00CB3D8D">
            <w:rPr>
              <w:noProof/>
              <w:sz w:val="20"/>
              <w:szCs w:val="20"/>
            </w:rPr>
            <w:t>V 1 – Eisen(III)chlorid als Flockungsmittel zur Wasserreinigung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CB3D8D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1C27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3D8D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n">
    <w:name w:val="fn"/>
    <w:basedOn w:val="Absatz-Standardschriftart"/>
    <w:rsid w:val="00CB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n">
    <w:name w:val="fn"/>
    <w:basedOn w:val="Absatz-Standardschriftart"/>
    <w:rsid w:val="00C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5F7E-B061-4C9C-A756-0B5BEAAE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3</cp:revision>
  <cp:lastPrinted>2012-06-21T19:47:00Z</cp:lastPrinted>
  <dcterms:created xsi:type="dcterms:W3CDTF">2013-07-02T12:54:00Z</dcterms:created>
  <dcterms:modified xsi:type="dcterms:W3CDTF">2013-07-08T15:41:00Z</dcterms:modified>
</cp:coreProperties>
</file>