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30" w:rsidRDefault="00002230" w:rsidP="00002230">
      <w:pPr>
        <w:pStyle w:val="berschrift1"/>
        <w:numPr>
          <w:ilvl w:val="0"/>
          <w:numId w:val="0"/>
        </w:numPr>
      </w:pPr>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-43180</wp:posOffset>
                </wp:positionH>
                <wp:positionV relativeFrom="paragraph">
                  <wp:posOffset>701675</wp:posOffset>
                </wp:positionV>
                <wp:extent cx="5873115" cy="796925"/>
                <wp:effectExtent l="13970" t="6350" r="8890" b="6350"/>
                <wp:wrapSquare wrapText="bothSides"/>
                <wp:docPr id="1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969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02230" w:rsidRDefault="00002230" w:rsidP="00002230">
                            <w:r>
                              <w:t>Während der biologischen Reinigung der Kläranlage bauen Mikroorganismen organische Stoffe ab. In diesem Versuch soll demonstriert werden, dass Hefepilze Glucose aus einer Lösung au</w:t>
                            </w:r>
                            <w:r>
                              <w:t>f</w:t>
                            </w:r>
                            <w:r>
                              <w:t>nehmen können.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5" o:spid="_x0000_s1026" type="#_x0000_t202" style="position:absolute;left:0;text-align:left;margin-left:-3.4pt;margin-top:55.25pt;width:462.45pt;height: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UWO7AIAACsGAAAOAAAAZHJzL2Uyb0RvYy54bWysVNuO2jAQfa/Uf7D8zoZwC0QbVsBCVWl7&#10;kdiqz8Z2iFXHTm1Dsq367x3bQGn3oVW1IEUeX87MmZkzt3ddLdGRGyu0KnB608eIK6qZUPsCf3rc&#10;9KYYWUcUI1IrXuAnbvHd/PWr27bJ+UBXWjJuEIAom7dNgSvnmjxJLK14TeyNbriCw1KbmjgwzT5h&#10;hrSAXstk0O9PklYb1hhNubWwex8P8TzglyWn7kNZWu6QLDDE5sLXhO/Of5P5Lcn3hjSVoKcwyH9E&#10;UROhwOkF6p44gg5GPIOqBTXa6tLdUF0nuiwF5YEDsEn7f7DZVqThgQskxzaXNNmXg6Xvjx8NEgxq&#10;N8ZIkRpq9Mg7V3LJEGxBftrG5nBt28BF1y11B3cDV9s8aPrFIqVXFVF7vjBGtxUnDOJL/cvk6mnE&#10;sR5k177TDPyQg9MBqCtN7ZMH6UCADnV6utQGYkEUNsfTbJj6GCmcZbPJbBCCS0h+ft0Y695wXSO/&#10;KLCB2gd0cnywzkdD8vMV78xqKdhGSBkM3298JQ06EugU6SJDeagh1LiX9v0vNgzsQ1vF/bAF2KFl&#10;PUTw9Bu6VKiFlAwyeP8314RSrtw43Hsh9571PbFVjJfBKrKohQPtSVEXeHpFzldwrVhQhiNCxjUw&#10;lMoHz4OqYkrB6hwswz4UKnT898Vm3M9Gw2kvy8bD3mi47veW082qt1ilk0m2Xq6W6/SHJ5iO8kow&#10;xtU6YNqzANPRvzX4aRRE6VwkeAnQR6UPwHFbsRYx4btiOJ4NUgwGzABfD19SROQehhd1BiOj3Wfh&#10;qqA834Mew5r97tIa04n/h+6+Qg81v3KcPOMWb3SQKsjkOWtBIF4TUR2u23Unwe00ewKpQDhBDzBh&#10;YVFp8w2jFqZVge3XAzEcI/lWgdxm6Wjkx1swRuNsAIa5PtldnxBFAarADqiH5crFkXhojNhX4Cm2&#10;v9ILkGgpgnq8lmNUQMEbMJECmdP09CPv2g63fs34+U8AAAD//wMAUEsDBBQABgAIAAAAIQBH7NRm&#10;4AAAAAoBAAAPAAAAZHJzL2Rvd25yZXYueG1sTI9BT4NAEIXvJv6HzZh4a3epKVLK0pgmHrR6EPU+&#10;hS0Q2VnCbgH76x1Pepw3L+99L9vNthOjGXzrSEO0VCAMla5qqdbw8f64SED4gFRh58ho+DYedvn1&#10;VYZp5SZ6M2MRasEh5FPU0ITQp1L6sjEW/dL1hvh3coPFwOdQy2rAicNtJ1dKxdJiS9zQYG/2jSm/&#10;irPVsH9OLpNdIx7Gz1NfvDwdLur1Xuvbm/lhCyKYOfyZ4Ref0SFnpqM7U+VFp2ERM3lgPVJrEGzY&#10;REkE4qhhdRcrkHkm/0/IfwAAAP//AwBQSwECLQAUAAYACAAAACEAtoM4kv4AAADhAQAAEwAAAAAA&#10;AAAAAAAAAAAAAAAAW0NvbnRlbnRfVHlwZXNdLnhtbFBLAQItABQABgAIAAAAIQA4/SH/1gAAAJQB&#10;AAALAAAAAAAAAAAAAAAAAC8BAABfcmVscy8ucmVsc1BLAQItABQABgAIAAAAIQD4aUWO7AIAACsG&#10;AAAOAAAAAAAAAAAAAAAAAC4CAABkcnMvZTJvRG9jLnhtbFBLAQItABQABgAIAAAAIQBH7NRm4AAA&#10;AAoBAAAPAAAAAAAAAAAAAAAAAEYFAABkcnMvZG93bnJldi54bWxQSwUGAAAAAAQABADzAAAAUwYA&#10;AAAA&#10;" fillcolor="white [3201]" strokecolor="#4bacc6 [3208]" strokeweight="1pt">
                <v:stroke dashstyle="dash"/>
                <v:shadow color="#868686"/>
                <v:textbox>
                  <w:txbxContent>
                    <w:p w:rsidR="00002230" w:rsidRDefault="00002230" w:rsidP="00002230">
                      <w:r>
                        <w:t>Während der biologischen Reinigung der Kläranlage bauen Mikroorganismen organische Stoffe ab. In diesem Versuch soll demonstriert werden, dass Hefepilze Glucose aus einer Lösung au</w:t>
                      </w:r>
                      <w:r>
                        <w:t>f</w:t>
                      </w:r>
                      <w:r>
                        <w:t>nehmen können.</w:t>
                      </w:r>
                    </w:p>
                  </w:txbxContent>
                </v:textbox>
                <w10:wrap type="square"/>
              </v:shape>
            </w:pict>
          </mc:Fallback>
        </mc:AlternateContent>
      </w:r>
      <w:bookmarkStart w:id="0" w:name="_Toc336799445"/>
      <w:r>
        <w:t>V 2 – Biologische Reinigung mittels Hefe</w:t>
      </w:r>
      <w:bookmarkEnd w:id="0"/>
    </w:p>
    <w:p w:rsidR="00002230" w:rsidRDefault="00002230" w:rsidP="00002230"/>
    <w:tbl>
      <w:tblPr>
        <w:tblStyle w:val="HelleSchattierung-Akzent11"/>
        <w:tblW w:w="9771" w:type="dxa"/>
        <w:tblLook w:val="04A0" w:firstRow="1" w:lastRow="0" w:firstColumn="1" w:lastColumn="0" w:noHBand="0" w:noVBand="1"/>
      </w:tblPr>
      <w:tblGrid>
        <w:gridCol w:w="2259"/>
        <w:gridCol w:w="1677"/>
        <w:gridCol w:w="2551"/>
        <w:gridCol w:w="3284"/>
      </w:tblGrid>
      <w:tr w:rsidR="00002230" w:rsidTr="000022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gridSpan w:val="3"/>
            <w:tcBorders>
              <w:left w:val="nil"/>
              <w:right w:val="nil"/>
            </w:tcBorders>
            <w:vAlign w:val="center"/>
            <w:hideMark/>
          </w:tcPr>
          <w:p w:rsidR="00002230" w:rsidRDefault="00002230">
            <w:pPr>
              <w:spacing w:after="0"/>
              <w:jc w:val="center"/>
              <w:rPr>
                <w:color w:val="1D1B11" w:themeColor="background2" w:themeShade="1A"/>
                <w:sz w:val="20"/>
              </w:rPr>
            </w:pPr>
            <w:r>
              <w:rPr>
                <w:sz w:val="20"/>
              </w:rPr>
              <w:t>Gefahrenstoffe</w:t>
            </w:r>
          </w:p>
        </w:tc>
        <w:tc>
          <w:tcPr>
            <w:tcW w:w="3284" w:type="dxa"/>
            <w:vMerge w:val="restart"/>
            <w:tcBorders>
              <w:top w:val="nil"/>
              <w:left w:val="nil"/>
              <w:bottom w:val="nil"/>
              <w:right w:val="nil"/>
            </w:tcBorders>
            <w:hideMark/>
          </w:tcPr>
          <w:p w:rsidR="00002230" w:rsidRDefault="00002230">
            <w:pPr>
              <w:spacing w:after="0"/>
              <w:cnfStyle w:val="100000000000" w:firstRow="1" w:lastRow="0" w:firstColumn="0" w:lastColumn="0" w:oddVBand="0" w:evenVBand="0" w:oddHBand="0" w:evenHBand="0" w:firstRowFirstColumn="0" w:firstRowLastColumn="0" w:lastRowFirstColumn="0" w:lastRowLastColumn="0"/>
              <w:rPr>
                <w:noProof/>
                <w:color w:val="0000FF"/>
                <w:lang w:eastAsia="de-DE"/>
              </w:rPr>
            </w:pPr>
            <w:r>
              <w:rPr>
                <w:noProof/>
                <w:color w:val="0000FF"/>
                <w:lang w:eastAsia="de-DE"/>
              </w:rPr>
              <w:drawing>
                <wp:inline distT="0" distB="0" distL="0" distR="0">
                  <wp:extent cx="638175" cy="647065"/>
                  <wp:effectExtent l="0" t="0" r="9525" b="635"/>
                  <wp:docPr id="13" name="Grafik 13" descr="GHS-Piktogramme - 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3" descr="GHS-Piktogramme - Reize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647065"/>
                          </a:xfrm>
                          <a:prstGeom prst="rect">
                            <a:avLst/>
                          </a:prstGeom>
                          <a:noFill/>
                          <a:ln>
                            <a:noFill/>
                          </a:ln>
                        </pic:spPr>
                      </pic:pic>
                    </a:graphicData>
                  </a:graphic>
                </wp:inline>
              </w:drawing>
            </w:r>
            <w:r>
              <w:rPr>
                <w:noProof/>
                <w:color w:val="0000FF"/>
                <w:lang w:eastAsia="de-DE"/>
              </w:rPr>
              <w:drawing>
                <wp:inline distT="0" distB="0" distL="0" distR="0">
                  <wp:extent cx="690245" cy="655320"/>
                  <wp:effectExtent l="0" t="0" r="0" b="0"/>
                  <wp:docPr id="11" name="Grafik 11" descr="GHS-Piktogramme - Umweltschädl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9" descr="GHS-Piktogramme - Umweltschädlic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0245" cy="655320"/>
                          </a:xfrm>
                          <a:prstGeom prst="rect">
                            <a:avLst/>
                          </a:prstGeom>
                          <a:noFill/>
                          <a:ln>
                            <a:noFill/>
                          </a:ln>
                        </pic:spPr>
                      </pic:pic>
                    </a:graphicData>
                  </a:graphic>
                </wp:inline>
              </w:drawing>
            </w:r>
            <w:r>
              <w:rPr>
                <w:noProof/>
                <w:color w:val="0000FF"/>
                <w:lang w:eastAsia="de-DE"/>
              </w:rPr>
              <w:drawing>
                <wp:inline distT="0" distB="0" distL="0" distR="0">
                  <wp:extent cx="621030" cy="664210"/>
                  <wp:effectExtent l="0" t="0" r="7620" b="2540"/>
                  <wp:docPr id="10" name="Grafik 10" descr="GHS-Piktogramme - Ät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0" descr="GHS-Piktogramme - Ätze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030" cy="664210"/>
                          </a:xfrm>
                          <a:prstGeom prst="rect">
                            <a:avLst/>
                          </a:prstGeom>
                          <a:noFill/>
                          <a:ln>
                            <a:noFill/>
                          </a:ln>
                        </pic:spPr>
                      </pic:pic>
                    </a:graphicData>
                  </a:graphic>
                </wp:inline>
              </w:drawing>
            </w:r>
          </w:p>
        </w:tc>
      </w:tr>
      <w:tr w:rsidR="00002230" w:rsidTr="00002230">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259" w:type="dxa"/>
            <w:tcBorders>
              <w:top w:val="nil"/>
              <w:left w:val="nil"/>
              <w:bottom w:val="nil"/>
              <w:right w:val="nil"/>
            </w:tcBorders>
            <w:vAlign w:val="center"/>
            <w:hideMark/>
          </w:tcPr>
          <w:p w:rsidR="00002230" w:rsidRDefault="00002230">
            <w:pPr>
              <w:spacing w:after="0" w:line="276" w:lineRule="auto"/>
              <w:ind w:right="-180"/>
              <w:jc w:val="center"/>
              <w:rPr>
                <w:b w:val="0"/>
                <w:color w:val="1D1B11" w:themeColor="background2" w:themeShade="1A"/>
                <w:sz w:val="20"/>
              </w:rPr>
            </w:pPr>
            <w:r>
              <w:rPr>
                <w:b w:val="0"/>
                <w:sz w:val="20"/>
              </w:rPr>
              <w:t>Kupfer(</w:t>
            </w:r>
            <w:r>
              <w:rPr>
                <w:b w:val="0"/>
              </w:rPr>
              <w:t>II)</w:t>
            </w:r>
            <w:proofErr w:type="spellStart"/>
            <w:r>
              <w:rPr>
                <w:b w:val="0"/>
              </w:rPr>
              <w:t>sulfat</w:t>
            </w:r>
            <w:proofErr w:type="spellEnd"/>
          </w:p>
        </w:tc>
        <w:tc>
          <w:tcPr>
            <w:tcW w:w="1677" w:type="dxa"/>
            <w:tcBorders>
              <w:top w:val="nil"/>
              <w:left w:val="nil"/>
              <w:bottom w:val="nil"/>
              <w:right w:val="nil"/>
            </w:tcBorders>
            <w:vAlign w:val="center"/>
            <w:hideMark/>
          </w:tcPr>
          <w:p w:rsidR="00002230" w:rsidRDefault="00002230">
            <w:pPr>
              <w:spacing w:after="0" w:line="276" w:lineRule="auto"/>
              <w:jc w:val="center"/>
              <w:cnfStyle w:val="000000100000" w:firstRow="0" w:lastRow="0" w:firstColumn="0" w:lastColumn="0" w:oddVBand="0" w:evenVBand="0" w:oddHBand="1" w:evenHBand="0" w:firstRowFirstColumn="0" w:firstRowLastColumn="0" w:lastRowFirstColumn="0" w:lastRowLastColumn="0"/>
              <w:rPr>
                <w:color w:val="auto"/>
                <w:sz w:val="20"/>
              </w:rPr>
            </w:pPr>
            <w:r>
              <w:rPr>
                <w:color w:val="auto"/>
                <w:sz w:val="20"/>
              </w:rPr>
              <w:t>H: 302, 315, 319, 410</w:t>
            </w:r>
          </w:p>
        </w:tc>
        <w:tc>
          <w:tcPr>
            <w:tcW w:w="2551" w:type="dxa"/>
            <w:tcBorders>
              <w:top w:val="nil"/>
              <w:left w:val="nil"/>
              <w:bottom w:val="nil"/>
              <w:right w:val="nil"/>
            </w:tcBorders>
            <w:vAlign w:val="center"/>
            <w:hideMark/>
          </w:tcPr>
          <w:p w:rsidR="00002230" w:rsidRDefault="00002230">
            <w:pPr>
              <w:spacing w:after="0" w:line="276" w:lineRule="auto"/>
              <w:jc w:val="center"/>
              <w:cnfStyle w:val="000000100000" w:firstRow="0" w:lastRow="0" w:firstColumn="0" w:lastColumn="0" w:oddVBand="0" w:evenVBand="0" w:oddHBand="1" w:evenHBand="0" w:firstRowFirstColumn="0" w:firstRowLastColumn="0" w:lastRowFirstColumn="0" w:lastRowLastColumn="0"/>
              <w:rPr>
                <w:color w:val="auto"/>
                <w:sz w:val="20"/>
              </w:rPr>
            </w:pPr>
            <w:r>
              <w:rPr>
                <w:color w:val="auto"/>
                <w:sz w:val="20"/>
              </w:rPr>
              <w:t xml:space="preserve">P: </w:t>
            </w:r>
            <w:r>
              <w:t xml:space="preserve">273, </w:t>
            </w:r>
            <w:hyperlink r:id="rId12" w:anchor="P-S.C3.A4tze" w:tooltip="H- und P-Sätze" w:history="1">
              <w:r>
                <w:rPr>
                  <w:rStyle w:val="Hyperlink"/>
                  <w:color w:val="auto"/>
                  <w:sz w:val="20"/>
                  <w:szCs w:val="20"/>
                </w:rPr>
                <w:t>305+351+338</w:t>
              </w:r>
            </w:hyperlink>
            <w:r>
              <w:t>, 302+ 352</w:t>
            </w:r>
          </w:p>
        </w:tc>
        <w:tc>
          <w:tcPr>
            <w:tcW w:w="0" w:type="auto"/>
            <w:vMerge/>
            <w:tcBorders>
              <w:top w:val="nil"/>
              <w:left w:val="nil"/>
              <w:bottom w:val="nil"/>
              <w:right w:val="nil"/>
            </w:tcBorders>
            <w:vAlign w:val="center"/>
            <w:hideMark/>
          </w:tcPr>
          <w:p w:rsidR="00002230" w:rsidRDefault="00002230">
            <w:pPr>
              <w:spacing w:after="0" w:line="240" w:lineRule="auto"/>
              <w:jc w:val="left"/>
              <w:cnfStyle w:val="000000100000" w:firstRow="0" w:lastRow="0" w:firstColumn="0" w:lastColumn="0" w:oddVBand="0" w:evenVBand="0" w:oddHBand="1" w:evenHBand="0" w:firstRowFirstColumn="0" w:firstRowLastColumn="0" w:lastRowFirstColumn="0" w:lastRowLastColumn="0"/>
              <w:rPr>
                <w:b/>
                <w:bCs/>
                <w:noProof/>
                <w:color w:val="0000FF"/>
                <w:lang w:eastAsia="de-DE"/>
              </w:rPr>
            </w:pPr>
          </w:p>
        </w:tc>
      </w:tr>
      <w:tr w:rsidR="00002230" w:rsidTr="00002230">
        <w:tc>
          <w:tcPr>
            <w:cnfStyle w:val="001000000000" w:firstRow="0" w:lastRow="0" w:firstColumn="1" w:lastColumn="0" w:oddVBand="0" w:evenVBand="0" w:oddHBand="0" w:evenHBand="0" w:firstRowFirstColumn="0" w:firstRowLastColumn="0" w:lastRowFirstColumn="0" w:lastRowLastColumn="0"/>
            <w:tcW w:w="2259" w:type="dxa"/>
            <w:tcBorders>
              <w:top w:val="nil"/>
              <w:left w:val="nil"/>
              <w:bottom w:val="single" w:sz="8" w:space="0" w:color="4F81BD" w:themeColor="accent1"/>
              <w:right w:val="nil"/>
            </w:tcBorders>
            <w:vAlign w:val="center"/>
            <w:hideMark/>
          </w:tcPr>
          <w:p w:rsidR="00002230" w:rsidRDefault="00002230">
            <w:pPr>
              <w:spacing w:after="0" w:line="276" w:lineRule="auto"/>
              <w:ind w:right="-180"/>
              <w:jc w:val="center"/>
              <w:rPr>
                <w:b w:val="0"/>
                <w:color w:val="auto"/>
                <w:sz w:val="20"/>
                <w:szCs w:val="20"/>
              </w:rPr>
            </w:pPr>
            <w:r>
              <w:rPr>
                <w:b w:val="0"/>
                <w:color w:val="auto"/>
                <w:sz w:val="20"/>
                <w:szCs w:val="20"/>
              </w:rPr>
              <w:t>Natriumhydroxid</w:t>
            </w:r>
          </w:p>
        </w:tc>
        <w:tc>
          <w:tcPr>
            <w:tcW w:w="1677" w:type="dxa"/>
            <w:tcBorders>
              <w:top w:val="nil"/>
              <w:left w:val="nil"/>
              <w:bottom w:val="single" w:sz="8" w:space="0" w:color="4F81BD" w:themeColor="accent1"/>
              <w:right w:val="nil"/>
            </w:tcBorders>
            <w:vAlign w:val="center"/>
            <w:hideMark/>
          </w:tcPr>
          <w:p w:rsidR="00002230" w:rsidRDefault="00002230">
            <w:pPr>
              <w:spacing w:after="0" w:line="276" w:lineRule="auto"/>
              <w:ind w:hanging="44"/>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 xml:space="preserve">H: </w:t>
            </w:r>
            <w:r>
              <w:t>314, 290</w:t>
            </w:r>
          </w:p>
        </w:tc>
        <w:tc>
          <w:tcPr>
            <w:tcW w:w="2551" w:type="dxa"/>
            <w:tcBorders>
              <w:top w:val="nil"/>
              <w:left w:val="nil"/>
              <w:bottom w:val="single" w:sz="8" w:space="0" w:color="4F81BD" w:themeColor="accent1"/>
              <w:right w:val="nil"/>
            </w:tcBorders>
            <w:vAlign w:val="center"/>
            <w:hideMark/>
          </w:tcPr>
          <w:p w:rsidR="00002230" w:rsidRDefault="00002230">
            <w:pPr>
              <w:spacing w:after="0" w:line="276" w:lineRule="auto"/>
              <w:ind w:hanging="44"/>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 xml:space="preserve">P: </w:t>
            </w:r>
            <w:r>
              <w:t>280,</w:t>
            </w:r>
            <w:r>
              <w:rPr>
                <w:color w:val="auto"/>
                <w:sz w:val="20"/>
                <w:szCs w:val="20"/>
              </w:rPr>
              <w:t xml:space="preserve"> 301+ 330+331, </w:t>
            </w:r>
            <w:hyperlink r:id="rId13" w:anchor="P-S.C3.A4tze" w:tooltip="H- und P-Sätze" w:history="1">
              <w:r>
                <w:rPr>
                  <w:rStyle w:val="Hyperlink"/>
                  <w:color w:val="auto"/>
                  <w:sz w:val="20"/>
                  <w:szCs w:val="20"/>
                </w:rPr>
                <w:t>305+351+338</w:t>
              </w:r>
            </w:hyperlink>
          </w:p>
        </w:tc>
        <w:tc>
          <w:tcPr>
            <w:tcW w:w="0" w:type="auto"/>
            <w:vMerge/>
            <w:tcBorders>
              <w:top w:val="nil"/>
              <w:left w:val="nil"/>
              <w:bottom w:val="nil"/>
              <w:right w:val="nil"/>
            </w:tcBorders>
            <w:vAlign w:val="center"/>
            <w:hideMark/>
          </w:tcPr>
          <w:p w:rsidR="00002230" w:rsidRDefault="00002230">
            <w:pPr>
              <w:spacing w:after="0" w:line="240" w:lineRule="auto"/>
              <w:jc w:val="left"/>
              <w:cnfStyle w:val="000000000000" w:firstRow="0" w:lastRow="0" w:firstColumn="0" w:lastColumn="0" w:oddVBand="0" w:evenVBand="0" w:oddHBand="0" w:evenHBand="0" w:firstRowFirstColumn="0" w:firstRowLastColumn="0" w:lastRowFirstColumn="0" w:lastRowLastColumn="0"/>
              <w:rPr>
                <w:b/>
                <w:bCs/>
                <w:noProof/>
                <w:color w:val="0000FF"/>
                <w:lang w:eastAsia="de-DE"/>
              </w:rPr>
            </w:pPr>
          </w:p>
        </w:tc>
      </w:tr>
    </w:tbl>
    <w:p w:rsidR="00002230" w:rsidRDefault="00002230" w:rsidP="00002230">
      <w:pPr>
        <w:tabs>
          <w:tab w:val="left" w:pos="1701"/>
          <w:tab w:val="left" w:pos="1985"/>
        </w:tabs>
        <w:ind w:left="1980" w:hanging="1980"/>
        <w:rPr>
          <w:rFonts w:cstheme="minorBidi"/>
          <w:color w:val="1D1B11" w:themeColor="background2" w:themeShade="1A"/>
        </w:rPr>
      </w:pPr>
    </w:p>
    <w:p w:rsidR="00002230" w:rsidRDefault="00002230" w:rsidP="00002230">
      <w:pPr>
        <w:tabs>
          <w:tab w:val="left" w:pos="1701"/>
          <w:tab w:val="left" w:pos="1985"/>
        </w:tabs>
        <w:ind w:left="1980" w:hanging="1980"/>
      </w:pPr>
      <w:proofErr w:type="spellStart"/>
      <w:r>
        <w:t>Vorraussetzungen</w:t>
      </w:r>
      <w:proofErr w:type="spellEnd"/>
      <w:r>
        <w:t xml:space="preserve">: </w:t>
      </w:r>
      <w:r>
        <w:tab/>
        <w:t xml:space="preserve">Es sollte ein grundlegendes Verständnis über Hefe als Mikroorganismus vorhanden sein. Dazu könnte Hefe zuvor mikroskopiert werden. </w:t>
      </w:r>
      <w:proofErr w:type="spellStart"/>
      <w:r>
        <w:t>Etweder</w:t>
      </w:r>
      <w:proofErr w:type="spellEnd"/>
      <w:r>
        <w:t xml:space="preserve"> ist die </w:t>
      </w:r>
      <w:proofErr w:type="spellStart"/>
      <w:r>
        <w:t>Fehling</w:t>
      </w:r>
      <w:proofErr w:type="spellEnd"/>
      <w:r>
        <w:t>’</w:t>
      </w:r>
      <w:proofErr w:type="spellStart"/>
      <w:r>
        <w:t>sche</w:t>
      </w:r>
      <w:proofErr w:type="spellEnd"/>
      <w:r>
        <w:t xml:space="preserve"> Probe bereits bekannt oder muss genauer erklärt we</w:t>
      </w:r>
      <w:r>
        <w:t>r</w:t>
      </w:r>
      <w:r>
        <w:t>den.</w:t>
      </w:r>
    </w:p>
    <w:p w:rsidR="00002230" w:rsidRDefault="00002230" w:rsidP="00002230">
      <w:pPr>
        <w:tabs>
          <w:tab w:val="left" w:pos="1701"/>
          <w:tab w:val="left" w:pos="1985"/>
        </w:tabs>
        <w:ind w:left="1980" w:hanging="1980"/>
      </w:pPr>
      <w:r>
        <w:t xml:space="preserve">Materialien: </w:t>
      </w:r>
      <w:r>
        <w:tab/>
      </w:r>
      <w:r>
        <w:tab/>
        <w:t>Becherglas (100 mL), 2 Reagenzgläser, Hefe (Trockenhefe), Filter, Filte</w:t>
      </w:r>
      <w:r>
        <w:t>r</w:t>
      </w:r>
      <w:r>
        <w:t xml:space="preserve">papier, Bunsenbrenner, Spatel, Rührstab. </w:t>
      </w:r>
    </w:p>
    <w:p w:rsidR="00002230" w:rsidRDefault="00002230" w:rsidP="00002230">
      <w:pPr>
        <w:tabs>
          <w:tab w:val="left" w:pos="1701"/>
          <w:tab w:val="left" w:pos="1985"/>
        </w:tabs>
        <w:ind w:left="1980" w:hanging="1980"/>
      </w:pPr>
      <w:r>
        <w:t>Chemikalien:</w:t>
      </w:r>
      <w:r>
        <w:tab/>
      </w:r>
      <w:r>
        <w:tab/>
        <w:t xml:space="preserve">Glucose, </w:t>
      </w:r>
      <w:proofErr w:type="spellStart"/>
      <w:r>
        <w:t>Fehling</w:t>
      </w:r>
      <w:proofErr w:type="spellEnd"/>
      <w:r>
        <w:rPr>
          <w:b/>
        </w:rPr>
        <w:t xml:space="preserve"> </w:t>
      </w:r>
      <w:r>
        <w:t xml:space="preserve">I  und </w:t>
      </w:r>
      <w:proofErr w:type="spellStart"/>
      <w:r>
        <w:t>Fehling</w:t>
      </w:r>
      <w:proofErr w:type="spellEnd"/>
      <w:r>
        <w:rPr>
          <w:b/>
        </w:rPr>
        <w:t xml:space="preserve"> </w:t>
      </w:r>
      <w:r>
        <w:t>II -Lösung.</w:t>
      </w:r>
    </w:p>
    <w:p w:rsidR="00002230" w:rsidRDefault="00002230" w:rsidP="00002230">
      <w:pPr>
        <w:tabs>
          <w:tab w:val="left" w:pos="1701"/>
          <w:tab w:val="left" w:pos="1985"/>
        </w:tabs>
        <w:ind w:left="1980" w:hanging="1980"/>
      </w:pPr>
      <w:r>
        <w:t xml:space="preserve">Durchführung: </w:t>
      </w:r>
      <w:r>
        <w:tab/>
      </w:r>
      <w:r>
        <w:tab/>
        <w:t xml:space="preserve">Eine verdünnte Glucoselösung wird hergestellt und ein Teil davon mittels der </w:t>
      </w:r>
      <w:proofErr w:type="spellStart"/>
      <w:r>
        <w:t>Fehling</w:t>
      </w:r>
      <w:proofErr w:type="spellEnd"/>
      <w:r>
        <w:t>’</w:t>
      </w:r>
      <w:proofErr w:type="spellStart"/>
      <w:r>
        <w:t>schen</w:t>
      </w:r>
      <w:proofErr w:type="spellEnd"/>
      <w:r>
        <w:t xml:space="preserve"> Probe untersucht. Zu der restlichen Glucoselösung wird ein gehäufter Spatel Backhefe gegeben. Anschließend wird die Lösung e</w:t>
      </w:r>
      <w:r>
        <w:t>t</w:t>
      </w:r>
      <w:r>
        <w:t xml:space="preserve">was erwärmt. Nach einer Stunde wird ein Teil der Lösung gefiltert. Mit dem Filtrat wird die </w:t>
      </w:r>
      <w:proofErr w:type="spellStart"/>
      <w:r>
        <w:t>Fehling</w:t>
      </w:r>
      <w:proofErr w:type="spellEnd"/>
      <w:r>
        <w:t>’</w:t>
      </w:r>
      <w:proofErr w:type="spellStart"/>
      <w:r>
        <w:t>sche</w:t>
      </w:r>
      <w:proofErr w:type="spellEnd"/>
      <w:r>
        <w:t xml:space="preserve"> Probe durchgeführt.</w:t>
      </w:r>
    </w:p>
    <w:p w:rsidR="00002230" w:rsidRDefault="00002230" w:rsidP="00002230">
      <w:pPr>
        <w:tabs>
          <w:tab w:val="left" w:pos="1701"/>
          <w:tab w:val="left" w:pos="1985"/>
        </w:tabs>
        <w:ind w:left="1980" w:hanging="1980"/>
      </w:pPr>
      <w:r>
        <w:rPr>
          <w:noProof/>
          <w:lang w:eastAsia="de-DE"/>
        </w:rPr>
        <mc:AlternateContent>
          <mc:Choice Requires="wps">
            <w:drawing>
              <wp:inline distT="0" distB="0" distL="0" distR="0">
                <wp:extent cx="5873115" cy="584200"/>
                <wp:effectExtent l="9525" t="9525" r="13335" b="6350"/>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8420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02230" w:rsidRDefault="00002230" w:rsidP="00002230">
                            <w:r>
                              <w:t xml:space="preserve">Je verdünnter die Glucoselösung ist, desto schneller kann die </w:t>
                            </w:r>
                            <w:proofErr w:type="spellStart"/>
                            <w:r>
                              <w:t>Fehling</w:t>
                            </w:r>
                            <w:proofErr w:type="spellEnd"/>
                            <w:r>
                              <w:t>’</w:t>
                            </w:r>
                            <w:proofErr w:type="spellStart"/>
                            <w:r>
                              <w:t>sche</w:t>
                            </w:r>
                            <w:proofErr w:type="spellEnd"/>
                            <w:r>
                              <w:t xml:space="preserve"> Probe durchgeführt werden.</w:t>
                            </w:r>
                          </w:p>
                        </w:txbxContent>
                      </wps:txbx>
                      <wps:bodyPr rot="0" vert="horz" wrap="square" lIns="91440" tIns="45720" rIns="91440" bIns="45720" anchor="t" anchorCtr="0" upright="1">
                        <a:noAutofit/>
                      </wps:bodyPr>
                    </wps:wsp>
                  </a:graphicData>
                </a:graphic>
              </wp:inline>
            </w:drawing>
          </mc:Choice>
          <mc:Fallback>
            <w:pict>
              <v:shape id="Textfeld 14" o:spid="_x0000_s1027" type="#_x0000_t202" style="width:462.45pt;height: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lKZ7AIAADIGAAAOAAAAZHJzL2Uyb0RvYy54bWysVFtv2jAUfp+0/2D5nYZAgDRqqIDCNGk3&#10;qZ32bGyHWHPszDYk3bT/vmMbKFsfNk0FKfI5Pv7O9Ts3t30j0YEbK7QqcXo1xIgrqplQuxJ/ftgM&#10;coysI4oRqRUv8SO3+Hb++tVN1xZ8pGstGTcIQJQturbEtXNtkSSW1rwh9kq3XMFlpU1DHIhmlzBD&#10;OkBvZDIaDqdJpw1rjabcWtDexUs8D/hVxan7WFWWOyRLDLG58DXhu/XfZH5Dip0hbS3oMQzyH1E0&#10;RChweoa6I46gvRHPoBpBjba6cldUN4muKkF5yAGySYd/ZHNfk5aHXKA4tj2Xyb4cLP1w+GSQYNC7&#10;DCNFGujRA+9dxSVDoIL6dK0twOy+BUPXL3UPtiFX277T9KtFSq9qonZ8YYzuak4YxJf6l8nF04hj&#10;Pci2e68Z+CF7pwNQX5nGFw/KgQAd+vR47g3EgigoJ/lsnKYTjCjcTfIMmh9ckOL0ujXWveG6Qf5Q&#10;YgO9D+jk8M46Hw0pTibemdVSsI2QMgh+3vhKGnQgMCnSxQzlvoFQoy4d+l8cGNDDWEX9KYwwsh4i&#10;ePoNXSrUQUlGM3j/N9eEUq7cKNi9kHuf9R2xdYyXwSlm0QgH3JOiKXF+kZzv4FqxwAxHhIxnqJ5U&#10;PngeWBVLClLv4Bj00Kgw8T8Wm8lwlo3zwWw2GQ+y8Xo4WOab1WCxSqfT2Xq5Wq7Tnz7BNCtqwRhX&#10;64BpTwRMs38b8OMqiNQ5U/AcoI9K7yHH+5p1iAk/FePJ9SjFIMAO8P3wLUVE7mB5UWcwMtp9Ea4O&#10;zPMz6DGs2W3Po5FP/f84emf00PMLx8mz3KJFD6WCSp6qFgjiORHZ4fptH7no8T15tpo9AmMgqkAL&#10;WLRwqLX5jlEHS6vE9tueGI6RfKuAdddplvktF4RsMhuBYC5vtpc3RFGAKrGDCoTjysXNuG+N2NXg&#10;KbJA6QUwtRKBRE9RQSZegMUUcjouUb/5LuVg9bTq578AAAD//wMAUEsDBBQABgAIAAAAIQBCGdlz&#10;2QAAAAQBAAAPAAAAZHJzL2Rvd25yZXYueG1sTI9BT8MwDIXvSPyHyEjcWNqBEOuaToC0O6yTBjev&#10;8ZqqiVM12Vb49WRc4GI961nvfS5Xk7PiRGPoPCvIZxkI4sbrjlsF23p99wQiRGSN1jMp+KIAq+r6&#10;qsRC+zO/02kTW5FCOBSowMQ4FFKGxpDDMPMDcfIOfnQY0zq2Uo94TuHOynmWPUqHHacGgwO9Gmr6&#10;zdEp6O3uBT/z9j5fbz92taFv3b/VSt3eTM9LEJGm+HcMF/yEDlVi2vsj6yCsgvRI/J3JW8wfFiD2&#10;F5GBrEr5H776AQAA//8DAFBLAQItABQABgAIAAAAIQC2gziS/gAAAOEBAAATAAAAAAAAAAAAAAAA&#10;AAAAAABbQ29udGVudF9UeXBlc10ueG1sUEsBAi0AFAAGAAgAAAAhADj9If/WAAAAlAEAAAsAAAAA&#10;AAAAAAAAAAAALwEAAF9yZWxzLy5yZWxzUEsBAi0AFAAGAAgAAAAhAB+2UpnsAgAAMgYAAA4AAAAA&#10;AAAAAAAAAAAALgIAAGRycy9lMm9Eb2MueG1sUEsBAi0AFAAGAAgAAAAhAEIZ2XPZAAAABAEAAA8A&#10;AAAAAAAAAAAAAAAARgUAAGRycy9kb3ducmV2LnhtbFBLBQYAAAAABAAEAPMAAABMBgAAAAA=&#10;" fillcolor="white [3201]" strokecolor="#c0504d [3205]" strokeweight="1pt">
                <v:stroke dashstyle="dash"/>
                <v:shadow color="#868686"/>
                <v:textbox>
                  <w:txbxContent>
                    <w:p w:rsidR="00002230" w:rsidRDefault="00002230" w:rsidP="00002230">
                      <w:r>
                        <w:t xml:space="preserve">Je verdünnter die Glucoselösung ist, desto schneller kann die </w:t>
                      </w:r>
                      <w:proofErr w:type="spellStart"/>
                      <w:r>
                        <w:t>Fehling</w:t>
                      </w:r>
                      <w:proofErr w:type="spellEnd"/>
                      <w:r>
                        <w:t>’</w:t>
                      </w:r>
                      <w:proofErr w:type="spellStart"/>
                      <w:r>
                        <w:t>sche</w:t>
                      </w:r>
                      <w:proofErr w:type="spellEnd"/>
                      <w:r>
                        <w:t xml:space="preserve"> Probe durchgeführt werden.</w:t>
                      </w:r>
                    </w:p>
                  </w:txbxContent>
                </v:textbox>
                <w10:anchorlock/>
              </v:shape>
            </w:pict>
          </mc:Fallback>
        </mc:AlternateContent>
      </w:r>
    </w:p>
    <w:p w:rsidR="00002230" w:rsidRDefault="00002230" w:rsidP="00002230">
      <w:pPr>
        <w:tabs>
          <w:tab w:val="left" w:pos="1701"/>
          <w:tab w:val="left" w:pos="1985"/>
        </w:tabs>
        <w:ind w:left="1980" w:hanging="1980"/>
      </w:pPr>
      <w:r>
        <w:t>Beobachtung:</w:t>
      </w:r>
      <w:r>
        <w:tab/>
      </w:r>
      <w:r>
        <w:tab/>
        <w:t xml:space="preserve">Während sich die erste Lösung nach der </w:t>
      </w:r>
      <w:proofErr w:type="spellStart"/>
      <w:r>
        <w:t>Fehling</w:t>
      </w:r>
      <w:proofErr w:type="spellEnd"/>
      <w:r>
        <w:t>’</w:t>
      </w:r>
      <w:proofErr w:type="spellStart"/>
      <w:r>
        <w:t>schen</w:t>
      </w:r>
      <w:proofErr w:type="spellEnd"/>
      <w:r>
        <w:t xml:space="preserve"> Probe rot färbt, bleibt die Lösung der zweiten Probe blau. </w:t>
      </w:r>
    </w:p>
    <w:p w:rsidR="00002230" w:rsidRDefault="00002230" w:rsidP="00002230">
      <w:pPr>
        <w:keepNext/>
        <w:tabs>
          <w:tab w:val="left" w:pos="1701"/>
          <w:tab w:val="left" w:pos="1985"/>
        </w:tabs>
        <w:ind w:left="1980" w:hanging="1980"/>
        <w:jc w:val="center"/>
      </w:pPr>
      <w:r>
        <w:rPr>
          <w:noProof/>
          <w:lang w:eastAsia="de-DE"/>
        </w:rPr>
        <w:lastRenderedPageBreak/>
        <w:drawing>
          <wp:inline distT="0" distB="0" distL="0" distR="0">
            <wp:extent cx="1647825" cy="2199640"/>
            <wp:effectExtent l="0" t="0" r="9525" b="0"/>
            <wp:docPr id="9" name="Grafik 9" descr="http://www.fehling-lab.de/_data/foto-fehlingsche-pro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http://www.fehling-lab.de/_data/foto-fehlingsche-prob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7825" cy="2199640"/>
                    </a:xfrm>
                    <a:prstGeom prst="rect">
                      <a:avLst/>
                    </a:prstGeom>
                    <a:noFill/>
                    <a:ln>
                      <a:noFill/>
                    </a:ln>
                  </pic:spPr>
                </pic:pic>
              </a:graphicData>
            </a:graphic>
          </wp:inline>
        </w:drawing>
      </w:r>
    </w:p>
    <w:p w:rsidR="00002230" w:rsidRDefault="00002230" w:rsidP="00002230">
      <w:pPr>
        <w:pStyle w:val="Beschriftung"/>
        <w:jc w:val="center"/>
      </w:pPr>
      <w:r>
        <w:t>Abb. 3 –</w:t>
      </w:r>
      <w:r>
        <w:rPr>
          <w:noProof/>
        </w:rPr>
        <w:t xml:space="preserve"> links: negative Fehling‘sche Probe (nach dem Verstzen mit Hefe). Rechts: positive Probe (vor dem Versetzten mit Hefe) </w:t>
      </w:r>
    </w:p>
    <w:p w:rsidR="00002230" w:rsidRDefault="00002230" w:rsidP="00002230">
      <w:pPr>
        <w:tabs>
          <w:tab w:val="left" w:pos="1701"/>
          <w:tab w:val="left" w:pos="1985"/>
        </w:tabs>
        <w:ind w:left="1980" w:hanging="1980"/>
      </w:pPr>
      <w:r>
        <w:t xml:space="preserve">Deutung: </w:t>
      </w:r>
      <w:r>
        <w:tab/>
      </w:r>
      <w:r>
        <w:tab/>
        <w:t xml:space="preserve">Die Backhefe ist ein Pilz, der sich von Kohlenhydraten wie Glucose ernährt. In dem Versuch wurde die Glucose nach einiger Zeit von den Hefepilzen aufgenommen, sodass sie nach der Fitration in der Lösung nicht mehr nachgewiesen werden kann. (negative </w:t>
      </w:r>
      <w:proofErr w:type="spellStart"/>
      <w:r>
        <w:t>Fehling</w:t>
      </w:r>
      <w:proofErr w:type="spellEnd"/>
      <w:r>
        <w:t>’</w:t>
      </w:r>
      <w:proofErr w:type="spellStart"/>
      <w:r>
        <w:t>sche</w:t>
      </w:r>
      <w:proofErr w:type="spellEnd"/>
      <w:r>
        <w:t xml:space="preserve"> Probe).</w:t>
      </w:r>
    </w:p>
    <w:p w:rsidR="00002230" w:rsidRDefault="00002230" w:rsidP="00002230">
      <w:pPr>
        <w:tabs>
          <w:tab w:val="left" w:pos="1701"/>
          <w:tab w:val="left" w:pos="1985"/>
        </w:tabs>
        <w:ind w:left="1980" w:hanging="1980"/>
      </w:pPr>
      <w:r>
        <w:t xml:space="preserve">Entsorgung: </w:t>
      </w:r>
      <w:r>
        <w:tab/>
      </w:r>
      <w:r>
        <w:tab/>
        <w:t xml:space="preserve">Die Lösungen der </w:t>
      </w:r>
      <w:proofErr w:type="spellStart"/>
      <w:r>
        <w:t>Fehling</w:t>
      </w:r>
      <w:proofErr w:type="spellEnd"/>
      <w:r>
        <w:t>’</w:t>
      </w:r>
      <w:proofErr w:type="spellStart"/>
      <w:r>
        <w:t>schen</w:t>
      </w:r>
      <w:proofErr w:type="spellEnd"/>
      <w:r>
        <w:t xml:space="preserve"> Probe werden im Schwermetallabfall en</w:t>
      </w:r>
      <w:r>
        <w:t>t</w:t>
      </w:r>
      <w:r>
        <w:t>sorgt.</w:t>
      </w:r>
    </w:p>
    <w:p w:rsidR="00002230" w:rsidRDefault="00002230" w:rsidP="00002230">
      <w:pPr>
        <w:ind w:left="1980" w:hanging="1980"/>
        <w:jc w:val="left"/>
      </w:pPr>
      <w:r>
        <w:t>Literatur:</w:t>
      </w:r>
      <w:r>
        <w:tab/>
        <w:t xml:space="preserve">Bremen, D. </w:t>
      </w:r>
      <w:r>
        <w:rPr>
          <w:i/>
        </w:rPr>
        <w:t xml:space="preserve">et al. </w:t>
      </w:r>
      <w:r>
        <w:t>(1994): Modellversuch zur biologischen Abwasserrein</w:t>
      </w:r>
      <w:r>
        <w:t>i</w:t>
      </w:r>
      <w:r>
        <w:t xml:space="preserve">gung. In: </w:t>
      </w:r>
      <w:proofErr w:type="spellStart"/>
      <w:r>
        <w:rPr>
          <w:i/>
        </w:rPr>
        <w:t>PdN</w:t>
      </w:r>
      <w:proofErr w:type="spellEnd"/>
      <w:r>
        <w:t xml:space="preserve"> 5 43:16ff</w:t>
      </w:r>
    </w:p>
    <w:p w:rsidR="00BE6DD9" w:rsidRPr="00002230" w:rsidRDefault="00BE6DD9" w:rsidP="00002230">
      <w:bookmarkStart w:id="1" w:name="_GoBack"/>
      <w:bookmarkEnd w:id="1"/>
    </w:p>
    <w:sectPr w:rsidR="00BE6DD9" w:rsidRPr="00002230" w:rsidSect="00105256">
      <w:headerReference w:type="even" r:id="rId15"/>
      <w:headerReference w:type="default" r:id="rId16"/>
      <w:footerReference w:type="even" r:id="rId17"/>
      <w:footerReference w:type="default" r:id="rId18"/>
      <w:headerReference w:type="first" r:id="rId19"/>
      <w:footerReference w:type="first" r:id="rId20"/>
      <w:pgSz w:w="11907" w:h="16839" w:code="9"/>
      <w:pgMar w:top="1440" w:right="1440" w:bottom="1701" w:left="1440"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00C" w:rsidRDefault="0038000C" w:rsidP="009524CC">
      <w:pPr>
        <w:spacing w:after="0"/>
      </w:pPr>
      <w:r>
        <w:separator/>
      </w:r>
    </w:p>
  </w:endnote>
  <w:endnote w:type="continuationSeparator" w:id="0">
    <w:p w:rsidR="0038000C" w:rsidRDefault="0038000C" w:rsidP="00952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M Roman 12">
    <w:panose1 w:val="00000000000000000000"/>
    <w:charset w:val="00"/>
    <w:family w:val="modern"/>
    <w:notTrueType/>
    <w:pitch w:val="variable"/>
    <w:sig w:usb0="20000007"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00C" w:rsidRDefault="0038000C" w:rsidP="009524CC">
      <w:pPr>
        <w:spacing w:after="0"/>
      </w:pPr>
      <w:r>
        <w:separator/>
      </w:r>
    </w:p>
  </w:footnote>
  <w:footnote w:type="continuationSeparator" w:id="0">
    <w:p w:rsidR="0038000C" w:rsidRDefault="0038000C" w:rsidP="009524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rPr>
              <w:sz w:val="20"/>
              <w:szCs w:val="20"/>
            </w:rPr>
          </w:pPr>
          <w:r w:rsidRPr="00BD7F16">
            <w:rPr>
              <w:sz w:val="20"/>
              <w:szCs w:val="20"/>
            </w:rPr>
            <w:fldChar w:fldCharType="begin"/>
          </w:r>
          <w:r w:rsidRPr="00BD7F16">
            <w:rPr>
              <w:sz w:val="20"/>
              <w:szCs w:val="20"/>
            </w:rPr>
            <w:instrText xml:space="preserve"> STYLEREF  "Überschrift 1"  \* MERGEFORMAT </w:instrText>
          </w:r>
          <w:r w:rsidR="00CB3D8D">
            <w:rPr>
              <w:sz w:val="20"/>
              <w:szCs w:val="20"/>
            </w:rPr>
            <w:fldChar w:fldCharType="separate"/>
          </w:r>
          <w:r w:rsidR="00002230">
            <w:rPr>
              <w:noProof/>
              <w:sz w:val="20"/>
              <w:szCs w:val="20"/>
            </w:rPr>
            <w:t>V 2 – Biologische Reinigung mittels Hefe</w:t>
          </w:r>
          <w:r w:rsidRPr="00BD7F16">
            <w:rPr>
              <w:noProof/>
              <w:sz w:val="20"/>
              <w:szCs w:val="20"/>
            </w:rPr>
            <w:fldChar w:fldCharType="end"/>
          </w:r>
        </w:p>
      </w:tc>
      <w:tc>
        <w:tcPr>
          <w:tcW w:w="695"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Pr="00BD7F16">
            <w:rPr>
              <w:sz w:val="20"/>
              <w:szCs w:val="20"/>
            </w:rPr>
            <w:instrText xml:space="preserve"> PAGE   \* MERGEFORMAT </w:instrText>
          </w:r>
          <w:r w:rsidRPr="00BD7F16">
            <w:rPr>
              <w:sz w:val="20"/>
              <w:szCs w:val="20"/>
            </w:rPr>
            <w:fldChar w:fldCharType="separate"/>
          </w:r>
          <w:r w:rsidR="00002230">
            <w:rPr>
              <w:noProof/>
              <w:sz w:val="20"/>
              <w:szCs w:val="20"/>
            </w:rPr>
            <w:t>1</w:t>
          </w:r>
          <w:r w:rsidRPr="00BD7F16">
            <w:rPr>
              <w:sz w:val="20"/>
              <w:szCs w:val="20"/>
            </w:rPr>
            <w:fldChar w:fldCharType="end"/>
          </w:r>
        </w:p>
      </w:tc>
    </w:tr>
  </w:tbl>
  <w:p w:rsidR="007B154A" w:rsidRPr="00501F12" w:rsidRDefault="007B154A" w:rsidP="00501F1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1">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0"/>
  </w:num>
  <w:num w:numId="4">
    <w:abstractNumId w:val="9"/>
  </w:num>
  <w:num w:numId="5">
    <w:abstractNumId w:val="5"/>
  </w:num>
  <w:num w:numId="6">
    <w:abstractNumId w:val="11"/>
  </w:num>
  <w:num w:numId="7">
    <w:abstractNumId w:val="8"/>
  </w:num>
  <w:num w:numId="8">
    <w:abstractNumId w:val="1"/>
  </w:num>
  <w:num w:numId="9">
    <w:abstractNumId w:val="2"/>
  </w:num>
  <w:num w:numId="10">
    <w:abstractNumId w:val="3"/>
  </w:num>
  <w:num w:numId="11">
    <w:abstractNumId w:val="4"/>
  </w:num>
  <w:num w:numId="12">
    <w:abstractNumId w:val="7"/>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autoHyphenation/>
  <w:hyphenationZone w:val="425"/>
  <w:drawingGridHorizontalSpacing w:val="10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ED"/>
    <w:rsid w:val="00000C0B"/>
    <w:rsid w:val="00000D0E"/>
    <w:rsid w:val="00001CFF"/>
    <w:rsid w:val="000020E6"/>
    <w:rsid w:val="00002230"/>
    <w:rsid w:val="0000306D"/>
    <w:rsid w:val="00004693"/>
    <w:rsid w:val="00004C55"/>
    <w:rsid w:val="00004CDB"/>
    <w:rsid w:val="00006620"/>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0B7"/>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1703D"/>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5F04"/>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C8D"/>
    <w:rsid w:val="00231DF6"/>
    <w:rsid w:val="00231E3D"/>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91F"/>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00C"/>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1000"/>
    <w:rsid w:val="005626FE"/>
    <w:rsid w:val="00562D49"/>
    <w:rsid w:val="0056433A"/>
    <w:rsid w:val="00566C6B"/>
    <w:rsid w:val="0056722B"/>
    <w:rsid w:val="00571FDB"/>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FB4"/>
    <w:rsid w:val="005C0EFF"/>
    <w:rsid w:val="005C1AE2"/>
    <w:rsid w:val="005C2862"/>
    <w:rsid w:val="005C3B74"/>
    <w:rsid w:val="005C4E71"/>
    <w:rsid w:val="005C57FF"/>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A5"/>
    <w:rsid w:val="007706C0"/>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C7C"/>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3D8D"/>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5C32"/>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693"/>
    <w:rsid w:val="00EB77FD"/>
    <w:rsid w:val="00EB7A3A"/>
    <w:rsid w:val="00EB7C5F"/>
    <w:rsid w:val="00EC019A"/>
    <w:rsid w:val="00EC036B"/>
    <w:rsid w:val="00EC4567"/>
    <w:rsid w:val="00EC628F"/>
    <w:rsid w:val="00EC6939"/>
    <w:rsid w:val="00EC6B62"/>
    <w:rsid w:val="00EC7138"/>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fn">
    <w:name w:val="fn"/>
    <w:basedOn w:val="Absatz-Standardschriftart"/>
    <w:rsid w:val="00CB3D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fn">
    <w:name w:val="fn"/>
    <w:basedOn w:val="Absatz-Standardschriftart"/>
    <w:rsid w:val="00CB3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982540">
      <w:bodyDiv w:val="1"/>
      <w:marLeft w:val="0"/>
      <w:marRight w:val="0"/>
      <w:marTop w:val="0"/>
      <w:marBottom w:val="0"/>
      <w:divBdr>
        <w:top w:val="none" w:sz="0" w:space="0" w:color="auto"/>
        <w:left w:val="none" w:sz="0" w:space="0" w:color="auto"/>
        <w:bottom w:val="none" w:sz="0" w:space="0" w:color="auto"/>
        <w:right w:val="none" w:sz="0" w:space="0" w:color="auto"/>
      </w:divBdr>
    </w:div>
    <w:div w:id="705563877">
      <w:bodyDiv w:val="1"/>
      <w:marLeft w:val="0"/>
      <w:marRight w:val="0"/>
      <w:marTop w:val="0"/>
      <w:marBottom w:val="0"/>
      <w:divBdr>
        <w:top w:val="none" w:sz="0" w:space="0" w:color="auto"/>
        <w:left w:val="none" w:sz="0" w:space="0" w:color="auto"/>
        <w:bottom w:val="none" w:sz="0" w:space="0" w:color="auto"/>
        <w:right w:val="none" w:sz="0" w:space="0" w:color="auto"/>
      </w:divBdr>
    </w:div>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e.wikipedia.org/wiki/H-_und_P-S%C3%A4tz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de.wikipedia.org/wiki/H-_und_P-S%C3%A4tz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A1632-E07B-4896-B7A3-6325C4C4B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1658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Timm Wilke</cp:lastModifiedBy>
  <cp:revision>2</cp:revision>
  <cp:lastPrinted>2012-06-21T19:47:00Z</cp:lastPrinted>
  <dcterms:created xsi:type="dcterms:W3CDTF">2013-07-08T15:41:00Z</dcterms:created>
  <dcterms:modified xsi:type="dcterms:W3CDTF">2013-07-08T15:41:00Z</dcterms:modified>
</cp:coreProperties>
</file>