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E4" w:rsidRDefault="00CE4AE4" w:rsidP="00CE4AE4">
      <w:pPr>
        <w:pStyle w:val="berschrift1"/>
        <w:numPr>
          <w:ilvl w:val="0"/>
          <w:numId w:val="0"/>
        </w:num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701675</wp:posOffset>
                </wp:positionV>
                <wp:extent cx="5873115" cy="796925"/>
                <wp:effectExtent l="13970" t="6350" r="8890" b="6350"/>
                <wp:wrapSquare wrapText="bothSides"/>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4AE4" w:rsidRDefault="00CE4AE4" w:rsidP="00CE4AE4">
                            <w:r>
                              <w:t>Sowohl in einigen Kläranlagen als auch in Schwimmbädern wird mittels Chlor desinfiziert. In diesem Versuch soll eine handelsübliche Chlortablette dazu genutzt werden, das Bakterie</w:t>
                            </w:r>
                            <w:r>
                              <w:t>n</w:t>
                            </w:r>
                            <w:r>
                              <w:t xml:space="preserve">wachstum auf einer </w:t>
                            </w:r>
                            <w:proofErr w:type="spellStart"/>
                            <w:r>
                              <w:t>Agarplatte</w:t>
                            </w:r>
                            <w:proofErr w:type="spellEnd"/>
                            <w:r>
                              <w:t xml:space="preserve"> zu verhindern.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1" o:spid="_x0000_s1026" type="#_x0000_t202" style="position:absolute;left:0;text-align:left;margin-left:-3.4pt;margin-top:55.25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Lm7QIAACsGAAAOAAAAZHJzL2Uyb0RvYy54bWysVE2P2jAQvVfqf7B8Z0OAEEAbVsBCVWn7&#10;IbFVz8Z2iFXHTm1Dsq363zu2gdLuoVW1IEX2ePw8b2be3N51tURHbqzQqsDpTR8jrqhmQu0L/Olx&#10;05tgZB1RjEiteIGfuMV389evbttmxge60pJxgwBE2VnbFLhyrpkliaUVr4m90Q1XcFhqUxMHW7NP&#10;mCEtoNcyGfT746TVhjVGU24tWO/jIZ4H/LLk1H0oS8sdkgWG2Fz4mvDd+W8yvyWzvSFNJegpDPIf&#10;UdREKHj0AnVPHEEHI55B1YIabXXpbqiuE12WgvLAAdik/T/YbCvS8MAFkmObS5rsy8HS98ePBglW&#10;4GGKkSI11OiRd67kkiEwQX7axs7AbduAo+uWuoM6B662edD0i0VKryqi9nxhjG4rThjEF24mV1cj&#10;jvUgu/adZvAOOTgdgLrS1D55kA4E6FCnp0ttIBZEwZhN8mGaZhhROMun4+kg88ElZHa+3Rjr3nBd&#10;I78osIHaB3RyfLAuup5d/GNWS8E2Qsqw8f3GV9KgI4FOkS4ylIcaQo22tO9/sWHADm0V7cEEYYSW&#10;9RAhqN/QpUItpGSQw/2/PU0o5cplwe+Fnves74mtYrwMVpFFLRxoT4q6wJMrcr6Ca8WCMhwRMq6B&#10;oVQ+eB5UFVMKu87BMtihUKHjvy82WT8fDSe9PM+GvdFw3e8tJ5tVb7FKx+N8vVwt1+kPTzAdzSrB&#10;GFfrgGnPAkxH/9bgp1EQpXOR4CVAH5U+AMdtxVrEhO+KYTYdQKMzATPA18OXFBG5h+FFncHIaPdZ&#10;uCooz/egx7Bmv7u0xmTs/6fWu6CHml89nDzjFj06SBVk8py1IBCviagO1+26k+B2mj2BVCCcoAeY&#10;sLCotPmGUQvTqsD264EYjpF8q0Bu03Q08uMtbEZZPoCNuT7ZXZ8QRQGqwA6oh+XKxZF4aIzYV/BS&#10;bH+lFyDRUgT1eC3HqICC38BECmRO09OPvOt98Po14+c/AQAA//8DAFBLAwQUAAYACAAAACEAR+zU&#10;ZuAAAAAKAQAADwAAAGRycy9kb3ducmV2LnhtbEyPQU+DQBCF7yb+h82YeGt3qSlSytKYJh60ehD1&#10;PoUtENlZwm4B++sdT3qcNy/vfS/bzbYToxl860hDtFQgDJWuaqnW8PH+uEhA+IBUYefIaPg2Hnb5&#10;9VWGaeUmejNjEWrBIeRT1NCE0KdS+rIxFv3S9Yb4d3KDxcDnUMtqwInDbSdXSsXSYkvc0GBv9o0p&#10;v4qz1bB/Ti6TXSMexs9TX7w8HS7q9V7r25v5YQsimDn8meEXn9EhZ6ajO1PlRadhETN5YD1SaxBs&#10;2ERJBOKoYXUXK5B5Jv9PyH8AAAD//wMAUEsBAi0AFAAGAAgAAAAhALaDOJL+AAAA4QEAABMAAAAA&#10;AAAAAAAAAAAAAAAAAFtDb250ZW50X1R5cGVzXS54bWxQSwECLQAUAAYACAAAACEAOP0h/9YAAACU&#10;AQAACwAAAAAAAAAAAAAAAAAvAQAAX3JlbHMvLnJlbHNQSwECLQAUAAYACAAAACEAadVi5u0CAAAr&#10;BgAADgAAAAAAAAAAAAAAAAAuAgAAZHJzL2Uyb0RvYy54bWxQSwECLQAUAAYACAAAACEAR+zUZuAA&#10;AAAKAQAADwAAAAAAAAAAAAAAAABHBQAAZHJzL2Rvd25yZXYueG1sUEsFBgAAAAAEAAQA8wAAAFQG&#10;AAAAAA==&#10;" fillcolor="white [3201]" strokecolor="#4bacc6 [3208]" strokeweight="1pt">
                <v:stroke dashstyle="dash"/>
                <v:shadow color="#868686"/>
                <v:textbox>
                  <w:txbxContent>
                    <w:p w:rsidR="00CE4AE4" w:rsidRDefault="00CE4AE4" w:rsidP="00CE4AE4">
                      <w:r>
                        <w:t>Sowohl in einigen Kläranlagen als auch in Schwimmbädern wird mittels Chlor desinfiziert. In diesem Versuch soll eine handelsübliche Chlortablette dazu genutzt werden, das Bakterie</w:t>
                      </w:r>
                      <w:r>
                        <w:t>n</w:t>
                      </w:r>
                      <w:r>
                        <w:t xml:space="preserve">wachstum auf einer </w:t>
                      </w:r>
                      <w:proofErr w:type="spellStart"/>
                      <w:r>
                        <w:t>Agarplatte</w:t>
                      </w:r>
                      <w:proofErr w:type="spellEnd"/>
                      <w:r>
                        <w:t xml:space="preserve"> zu verhindern. </w:t>
                      </w:r>
                    </w:p>
                  </w:txbxContent>
                </v:textbox>
                <w10:wrap type="square"/>
              </v:shape>
            </w:pict>
          </mc:Fallback>
        </mc:AlternateContent>
      </w:r>
      <w:bookmarkStart w:id="0" w:name="_Toc336799449"/>
      <w:r>
        <w:t>V 5 – Desinfektion mittels einer Chlortablette</w:t>
      </w:r>
      <w:bookmarkEnd w:id="0"/>
    </w:p>
    <w:p w:rsidR="00CE4AE4" w:rsidRDefault="00CE4AE4" w:rsidP="00CE4AE4">
      <w:pPr>
        <w:autoSpaceDE w:val="0"/>
        <w:autoSpaceDN w:val="0"/>
        <w:adjustRightInd w:val="0"/>
        <w:spacing w:after="0" w:line="240" w:lineRule="auto"/>
        <w:jc w:val="left"/>
        <w:rPr>
          <w:rFonts w:ascii="Times-Italic" w:hAnsi="Times-Italic" w:cs="Times-Italic"/>
          <w:i/>
          <w:iCs/>
          <w:color w:val="auto"/>
          <w:sz w:val="20"/>
          <w:szCs w:val="20"/>
        </w:rPr>
      </w:pPr>
    </w:p>
    <w:p w:rsidR="00CE4AE4" w:rsidRDefault="00CE4AE4" w:rsidP="00CE4AE4">
      <w:pPr>
        <w:autoSpaceDE w:val="0"/>
        <w:autoSpaceDN w:val="0"/>
        <w:adjustRightInd w:val="0"/>
        <w:spacing w:after="0" w:line="240" w:lineRule="auto"/>
        <w:jc w:val="left"/>
        <w:rPr>
          <w:rFonts w:ascii="Times-Italic" w:hAnsi="Times-Italic" w:cs="Times-Italic"/>
          <w:i/>
          <w:iCs/>
          <w:color w:val="auto"/>
          <w:sz w:val="20"/>
          <w:szCs w:val="20"/>
        </w:rPr>
      </w:pPr>
    </w:p>
    <w:tbl>
      <w:tblPr>
        <w:tblStyle w:val="HelleSchattierung-Akzent11"/>
        <w:tblW w:w="9771" w:type="dxa"/>
        <w:tblLook w:val="04A0" w:firstRow="1" w:lastRow="0" w:firstColumn="1" w:lastColumn="0" w:noHBand="0" w:noVBand="1"/>
      </w:tblPr>
      <w:tblGrid>
        <w:gridCol w:w="2259"/>
        <w:gridCol w:w="1677"/>
        <w:gridCol w:w="2551"/>
        <w:gridCol w:w="3284"/>
      </w:tblGrid>
      <w:tr w:rsidR="00CE4AE4" w:rsidTr="00CE4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tcBorders>
              <w:left w:val="nil"/>
              <w:right w:val="nil"/>
            </w:tcBorders>
            <w:vAlign w:val="center"/>
            <w:hideMark/>
          </w:tcPr>
          <w:p w:rsidR="00CE4AE4" w:rsidRDefault="00CE4AE4">
            <w:pPr>
              <w:spacing w:after="0"/>
              <w:jc w:val="center"/>
              <w:rPr>
                <w:color w:val="1D1B11" w:themeColor="background2" w:themeShade="1A"/>
                <w:sz w:val="20"/>
              </w:rPr>
            </w:pPr>
            <w:r>
              <w:rPr>
                <w:sz w:val="20"/>
              </w:rPr>
              <w:t>Gefahrenstoffe</w:t>
            </w:r>
          </w:p>
        </w:tc>
        <w:tc>
          <w:tcPr>
            <w:tcW w:w="3284" w:type="dxa"/>
            <w:vMerge w:val="restart"/>
            <w:tcBorders>
              <w:top w:val="nil"/>
              <w:left w:val="nil"/>
              <w:bottom w:val="nil"/>
              <w:right w:val="nil"/>
            </w:tcBorders>
            <w:hideMark/>
          </w:tcPr>
          <w:p w:rsidR="00CE4AE4" w:rsidRDefault="00CE4AE4">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inline distT="0" distB="0" distL="0" distR="0">
                  <wp:extent cx="647065" cy="664210"/>
                  <wp:effectExtent l="0" t="0" r="635" b="2540"/>
                  <wp:docPr id="29" name="Grafik 29" descr="GHS-Piktogramme - 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6" descr="GHS-Piktogramme - Brandförder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065" cy="664210"/>
                          </a:xfrm>
                          <a:prstGeom prst="rect">
                            <a:avLst/>
                          </a:prstGeom>
                          <a:noFill/>
                          <a:ln>
                            <a:noFill/>
                          </a:ln>
                        </pic:spPr>
                      </pic:pic>
                    </a:graphicData>
                  </a:graphic>
                </wp:inline>
              </w:drawing>
            </w:r>
            <w:r>
              <w:rPr>
                <w:noProof/>
                <w:color w:val="0000FF"/>
                <w:lang w:eastAsia="de-DE"/>
              </w:rPr>
              <w:drawing>
                <wp:inline distT="0" distB="0" distL="0" distR="0">
                  <wp:extent cx="638175" cy="647065"/>
                  <wp:effectExtent l="0" t="0" r="9525" b="635"/>
                  <wp:docPr id="28" name="Grafik 28" descr="GHS-Piktogramme - 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GHS-Piktogramme - Reize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47065"/>
                          </a:xfrm>
                          <a:prstGeom prst="rect">
                            <a:avLst/>
                          </a:prstGeom>
                          <a:noFill/>
                          <a:ln>
                            <a:noFill/>
                          </a:ln>
                        </pic:spPr>
                      </pic:pic>
                    </a:graphicData>
                  </a:graphic>
                </wp:inline>
              </w:drawing>
            </w:r>
            <w:r>
              <w:rPr>
                <w:noProof/>
                <w:color w:val="0000FF"/>
                <w:lang w:eastAsia="de-DE"/>
              </w:rPr>
              <w:drawing>
                <wp:inline distT="0" distB="0" distL="0" distR="0">
                  <wp:extent cx="690245" cy="655320"/>
                  <wp:effectExtent l="0" t="0" r="0" b="0"/>
                  <wp:docPr id="27" name="Grafik 27" descr="GHS-Piktogramme - Umweltschäd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9" descr="GHS-Piktogramme - Umweltschädli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 cy="655320"/>
                          </a:xfrm>
                          <a:prstGeom prst="rect">
                            <a:avLst/>
                          </a:prstGeom>
                          <a:noFill/>
                          <a:ln>
                            <a:noFill/>
                          </a:ln>
                        </pic:spPr>
                      </pic:pic>
                    </a:graphicData>
                  </a:graphic>
                </wp:inline>
              </w:drawing>
            </w:r>
          </w:p>
        </w:tc>
      </w:tr>
      <w:tr w:rsidR="00CE4AE4" w:rsidTr="00CE4AE4">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single" w:sz="8" w:space="0" w:color="4F81BD" w:themeColor="accent1"/>
              <w:right w:val="nil"/>
            </w:tcBorders>
            <w:vAlign w:val="center"/>
            <w:hideMark/>
          </w:tcPr>
          <w:p w:rsidR="00CE4AE4" w:rsidRDefault="00CE4AE4">
            <w:pPr>
              <w:spacing w:after="0" w:line="276" w:lineRule="auto"/>
              <w:ind w:right="-180"/>
              <w:jc w:val="center"/>
              <w:rPr>
                <w:b w:val="0"/>
                <w:color w:val="1D1B11" w:themeColor="background2" w:themeShade="1A"/>
                <w:sz w:val="20"/>
              </w:rPr>
            </w:pPr>
            <w:r>
              <w:rPr>
                <w:b w:val="0"/>
                <w:sz w:val="20"/>
              </w:rPr>
              <w:t>Trichlorisocyanursäure</w:t>
            </w:r>
          </w:p>
        </w:tc>
        <w:tc>
          <w:tcPr>
            <w:tcW w:w="1677" w:type="dxa"/>
            <w:tcBorders>
              <w:top w:val="nil"/>
              <w:left w:val="nil"/>
              <w:bottom w:val="single" w:sz="8" w:space="0" w:color="4F81BD" w:themeColor="accent1"/>
              <w:right w:val="nil"/>
            </w:tcBorders>
            <w:vAlign w:val="center"/>
            <w:hideMark/>
          </w:tcPr>
          <w:p w:rsidR="00CE4AE4" w:rsidRDefault="00CE4AE4">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272, 302, 319,335,410</w:t>
            </w:r>
          </w:p>
        </w:tc>
        <w:tc>
          <w:tcPr>
            <w:tcW w:w="2551" w:type="dxa"/>
            <w:tcBorders>
              <w:top w:val="nil"/>
              <w:left w:val="nil"/>
              <w:bottom w:val="single" w:sz="8" w:space="0" w:color="4F81BD" w:themeColor="accent1"/>
              <w:right w:val="nil"/>
            </w:tcBorders>
            <w:vAlign w:val="center"/>
            <w:hideMark/>
          </w:tcPr>
          <w:p w:rsidR="00CE4AE4" w:rsidRDefault="00CE4AE4">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 xml:space="preserve">P: </w:t>
            </w:r>
            <w:r>
              <w:t>261, 273, 301+312, 305+351+338, 501</w:t>
            </w:r>
          </w:p>
        </w:tc>
        <w:tc>
          <w:tcPr>
            <w:tcW w:w="0" w:type="auto"/>
            <w:vMerge/>
            <w:tcBorders>
              <w:top w:val="nil"/>
              <w:left w:val="nil"/>
              <w:bottom w:val="nil"/>
              <w:right w:val="nil"/>
            </w:tcBorders>
            <w:vAlign w:val="center"/>
            <w:hideMark/>
          </w:tcPr>
          <w:p w:rsidR="00CE4AE4" w:rsidRDefault="00CE4AE4">
            <w:pPr>
              <w:spacing w:after="0" w:line="240" w:lineRule="auto"/>
              <w:jc w:val="left"/>
              <w:cnfStyle w:val="000000100000" w:firstRow="0" w:lastRow="0" w:firstColumn="0" w:lastColumn="0" w:oddVBand="0" w:evenVBand="0" w:oddHBand="1" w:evenHBand="0" w:firstRowFirstColumn="0" w:firstRowLastColumn="0" w:lastRowFirstColumn="0" w:lastRowLastColumn="0"/>
              <w:rPr>
                <w:b/>
                <w:bCs/>
                <w:noProof/>
                <w:color w:val="0000FF"/>
                <w:lang w:eastAsia="de-DE"/>
              </w:rPr>
            </w:pPr>
          </w:p>
        </w:tc>
      </w:tr>
    </w:tbl>
    <w:p w:rsidR="00CE4AE4" w:rsidRDefault="00CE4AE4" w:rsidP="00CE4AE4">
      <w:pPr>
        <w:tabs>
          <w:tab w:val="left" w:pos="1701"/>
          <w:tab w:val="left" w:pos="1985"/>
        </w:tabs>
        <w:ind w:left="1980" w:hanging="1980"/>
        <w:rPr>
          <w:rFonts w:cstheme="minorBidi"/>
          <w:color w:val="1D1B11" w:themeColor="background2" w:themeShade="1A"/>
        </w:rPr>
      </w:pPr>
    </w:p>
    <w:p w:rsidR="00CE4AE4" w:rsidRDefault="00CE4AE4" w:rsidP="00CE4AE4">
      <w:pPr>
        <w:tabs>
          <w:tab w:val="left" w:pos="1701"/>
          <w:tab w:val="left" w:pos="1985"/>
        </w:tabs>
        <w:ind w:left="1980" w:hanging="1980"/>
      </w:pPr>
      <w:r>
        <w:t xml:space="preserve">Voraussetzungen: </w:t>
      </w:r>
      <w:r>
        <w:tab/>
        <w:t>Die SuS sollten ein grundlegendes Wissen über Mikroorganismen haben.</w:t>
      </w:r>
    </w:p>
    <w:p w:rsidR="00CE4AE4" w:rsidRDefault="00CE4AE4" w:rsidP="00CE4AE4">
      <w:pPr>
        <w:tabs>
          <w:tab w:val="left" w:pos="1701"/>
          <w:tab w:val="left" w:pos="1985"/>
        </w:tabs>
        <w:ind w:left="1980" w:hanging="1980"/>
      </w:pPr>
      <w:r>
        <w:t xml:space="preserve">Materialien: </w:t>
      </w:r>
      <w:r>
        <w:tab/>
      </w:r>
      <w:r>
        <w:tab/>
        <w:t xml:space="preserve">2 </w:t>
      </w:r>
      <w:proofErr w:type="spellStart"/>
      <w:r>
        <w:t>Agarplatten</w:t>
      </w:r>
      <w:proofErr w:type="spellEnd"/>
      <w:r>
        <w:t xml:space="preserve">,  </w:t>
      </w:r>
      <w:proofErr w:type="spellStart"/>
      <w:r>
        <w:t>Bercherglas</w:t>
      </w:r>
      <w:proofErr w:type="spellEnd"/>
      <w:r>
        <w:t xml:space="preserve"> (1L), Spatel, Pipette, Brutschrank. </w:t>
      </w:r>
    </w:p>
    <w:p w:rsidR="00CE4AE4" w:rsidRDefault="00CE4AE4" w:rsidP="00CE4AE4">
      <w:pPr>
        <w:tabs>
          <w:tab w:val="left" w:pos="1701"/>
          <w:tab w:val="left" w:pos="1985"/>
        </w:tabs>
        <w:ind w:left="1980" w:hanging="1980"/>
      </w:pPr>
      <w:r>
        <w:t>Chemikalien:</w:t>
      </w:r>
      <w:r>
        <w:tab/>
      </w:r>
      <w:r>
        <w:tab/>
        <w:t xml:space="preserve">Chlortablette (99% </w:t>
      </w:r>
      <w:r>
        <w:rPr>
          <w:sz w:val="20"/>
        </w:rPr>
        <w:t>Trichlorisocyanursäure)</w:t>
      </w:r>
      <w:r>
        <w:t>, dem . Wasser.</w:t>
      </w:r>
    </w:p>
    <w:p w:rsidR="00CE4AE4" w:rsidRDefault="00CE4AE4" w:rsidP="00CE4AE4">
      <w:pPr>
        <w:tabs>
          <w:tab w:val="left" w:pos="1701"/>
          <w:tab w:val="left" w:pos="1985"/>
        </w:tabs>
        <w:ind w:left="1980" w:hanging="1980"/>
      </w:pPr>
      <w:r>
        <w:t xml:space="preserve">Durchführung: </w:t>
      </w:r>
      <w:r>
        <w:tab/>
      </w:r>
      <w:r>
        <w:tab/>
        <w:t xml:space="preserve">Ein wenig einer Chlortablette wird mit Hilfe eines Spatels abgekratzt und in </w:t>
      </w:r>
      <w:r>
        <w:tab/>
        <w:t xml:space="preserve">einem Becherglas in dem. Wasser gelöst. Dies wird vom Lehrer </w:t>
      </w:r>
      <w:proofErr w:type="spellStart"/>
      <w:r>
        <w:t>vorbereitet.Die</w:t>
      </w:r>
      <w:proofErr w:type="spellEnd"/>
      <w:r>
        <w:t xml:space="preserve"> </w:t>
      </w:r>
      <w:proofErr w:type="spellStart"/>
      <w:r>
        <w:t>Agarplatten</w:t>
      </w:r>
      <w:proofErr w:type="spellEnd"/>
      <w:r>
        <w:t xml:space="preserve"> werden auf die gleiche Weise kontaminiert (Platzierung an einem bestimmten Ort, Fingerabdruck, etc.). Mittels einer Pipette wird eine der </w:t>
      </w:r>
      <w:proofErr w:type="spellStart"/>
      <w:r>
        <w:t>Agarplatten</w:t>
      </w:r>
      <w:proofErr w:type="spellEnd"/>
      <w:r>
        <w:t xml:space="preserve"> mit der hergestellten Lösung bedeckt. Anschließend wird die Lösung von der Platte abgegossen. Die andere </w:t>
      </w:r>
      <w:proofErr w:type="spellStart"/>
      <w:r>
        <w:t>Agarplatte</w:t>
      </w:r>
      <w:proofErr w:type="spellEnd"/>
      <w:r>
        <w:t xml:space="preserve"> wird auf gleiche Weise mit dem. Wasser behandelt. Beide </w:t>
      </w:r>
      <w:proofErr w:type="spellStart"/>
      <w:r>
        <w:t>Aga</w:t>
      </w:r>
      <w:r>
        <w:t>r</w:t>
      </w:r>
      <w:r>
        <w:t>platten</w:t>
      </w:r>
      <w:proofErr w:type="spellEnd"/>
      <w:r>
        <w:t xml:space="preserve"> werden anschließend in einem Brutschrank bei 37°C für minde</w:t>
      </w:r>
      <w:r>
        <w:t>s</w:t>
      </w:r>
      <w:r>
        <w:t xml:space="preserve">tens 24 Stunden </w:t>
      </w:r>
      <w:proofErr w:type="spellStart"/>
      <w:r>
        <w:t>inkubiert</w:t>
      </w:r>
      <w:proofErr w:type="spellEnd"/>
      <w:r>
        <w:t xml:space="preserve">.  </w:t>
      </w:r>
      <w:r>
        <w:tab/>
      </w:r>
      <w:r>
        <w:tab/>
        <w:t xml:space="preserve"> </w:t>
      </w:r>
    </w:p>
    <w:p w:rsidR="00CE4AE4" w:rsidRDefault="00CE4AE4" w:rsidP="00CE4AE4">
      <w:pPr>
        <w:tabs>
          <w:tab w:val="left" w:pos="1701"/>
          <w:tab w:val="left" w:pos="1985"/>
        </w:tabs>
        <w:ind w:left="1980" w:hanging="1980"/>
      </w:pPr>
      <w:r>
        <w:t>Beobachtung:</w:t>
      </w:r>
      <w:r>
        <w:tab/>
      </w:r>
      <w:r>
        <w:tab/>
        <w:t xml:space="preserve">Während auf der mit dem. Wasser behandelten </w:t>
      </w:r>
      <w:proofErr w:type="spellStart"/>
      <w:r>
        <w:t>Agarplatte</w:t>
      </w:r>
      <w:proofErr w:type="spellEnd"/>
      <w:r>
        <w:t xml:space="preserve"> mehrere Bakt</w:t>
      </w:r>
      <w:r>
        <w:t>e</w:t>
      </w:r>
      <w:r>
        <w:t xml:space="preserve">rien-/Pilzkolonien wachsen, zeigt die desinfizierte </w:t>
      </w:r>
      <w:proofErr w:type="spellStart"/>
      <w:r>
        <w:t>Agarplatte</w:t>
      </w:r>
      <w:proofErr w:type="spellEnd"/>
      <w:r>
        <w:t xml:space="preserve"> keine Verä</w:t>
      </w:r>
      <w:r>
        <w:t>n</w:t>
      </w:r>
      <w:r>
        <w:t xml:space="preserve">derung. </w:t>
      </w:r>
    </w:p>
    <w:p w:rsidR="00CE4AE4" w:rsidRDefault="00CE4AE4" w:rsidP="00CE4AE4">
      <w:pPr>
        <w:keepNext/>
        <w:tabs>
          <w:tab w:val="left" w:pos="1701"/>
          <w:tab w:val="left" w:pos="1985"/>
        </w:tabs>
        <w:ind w:left="1980" w:hanging="1980"/>
        <w:jc w:val="center"/>
      </w:pPr>
      <w:r>
        <w:rPr>
          <w:noProof/>
          <w:lang w:eastAsia="de-DE"/>
        </w:rPr>
        <w:lastRenderedPageBreak/>
        <w:drawing>
          <wp:inline distT="0" distB="0" distL="0" distR="0">
            <wp:extent cx="3373120" cy="1294130"/>
            <wp:effectExtent l="0" t="0" r="0" b="127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12">
                      <a:extLst>
                        <a:ext uri="{28A0092B-C50C-407E-A947-70E740481C1C}">
                          <a14:useLocalDpi xmlns:a14="http://schemas.microsoft.com/office/drawing/2010/main" val="0"/>
                        </a:ext>
                      </a:extLst>
                    </a:blip>
                    <a:srcRect l="478" t="32001" r="47661" b="53897"/>
                    <a:stretch>
                      <a:fillRect/>
                    </a:stretch>
                  </pic:blipFill>
                  <pic:spPr bwMode="auto">
                    <a:xfrm>
                      <a:off x="0" y="0"/>
                      <a:ext cx="3373120" cy="1294130"/>
                    </a:xfrm>
                    <a:prstGeom prst="rect">
                      <a:avLst/>
                    </a:prstGeom>
                    <a:noFill/>
                    <a:ln>
                      <a:noFill/>
                    </a:ln>
                  </pic:spPr>
                </pic:pic>
              </a:graphicData>
            </a:graphic>
          </wp:inline>
        </w:drawing>
      </w:r>
    </w:p>
    <w:p w:rsidR="00CE4AE4" w:rsidRDefault="00CE4AE4" w:rsidP="00CE4AE4">
      <w:pPr>
        <w:pStyle w:val="Beschriftung"/>
        <w:jc w:val="center"/>
      </w:pPr>
      <w:r>
        <w:t xml:space="preserve">Abb. 6- </w:t>
      </w:r>
      <w:r>
        <w:rPr>
          <w:noProof/>
        </w:rPr>
        <w:t xml:space="preserve">  links: Bakteriumwachstum ohne Desinfektion. Rechts: Bakteriumwachstum mit Desinfektion</w:t>
      </w:r>
    </w:p>
    <w:p w:rsidR="00CE4AE4" w:rsidRDefault="00CE4AE4" w:rsidP="00CE4AE4">
      <w:pPr>
        <w:tabs>
          <w:tab w:val="left" w:pos="1701"/>
          <w:tab w:val="left" w:pos="1985"/>
        </w:tabs>
        <w:ind w:left="1980" w:hanging="1980"/>
      </w:pPr>
    </w:p>
    <w:p w:rsidR="00CE4AE4" w:rsidRDefault="00CE4AE4" w:rsidP="00CE4AE4">
      <w:pPr>
        <w:tabs>
          <w:tab w:val="left" w:pos="1701"/>
          <w:tab w:val="left" w:pos="1985"/>
        </w:tabs>
        <w:ind w:left="1980" w:hanging="1980"/>
      </w:pPr>
      <w:r>
        <w:t>Deutung: Chlor wirkt desinfizierend. Es tötet Mikroorganismen und verhindert ihr Wachstum.</w:t>
      </w:r>
    </w:p>
    <w:p w:rsidR="00CE4AE4" w:rsidRDefault="00CE4AE4" w:rsidP="00CE4AE4">
      <w:pPr>
        <w:ind w:left="2124" w:hanging="2124"/>
        <w:jc w:val="left"/>
      </w:pPr>
      <w:r>
        <w:t>Literatur:</w:t>
      </w:r>
      <w:r>
        <w:tab/>
        <w:t>BASF (2010)http://www.basf.com/group/corporate/site-ludwigshafen/de/function/conversions:/ publish/content/about-basf/worldwide/europe/Ludwigshafen/Education/Lernen_mit_der_BASF/images/                          Experimente_Wasser_2012.pdf</w:t>
      </w:r>
    </w:p>
    <w:p w:rsidR="00CE4AE4" w:rsidRDefault="00CE4AE4" w:rsidP="00CE4AE4">
      <w:pPr>
        <w:tabs>
          <w:tab w:val="left" w:pos="1701"/>
          <w:tab w:val="left" w:pos="1985"/>
        </w:tabs>
        <w:ind w:left="1980" w:hanging="1980"/>
      </w:pPr>
      <w:r>
        <w:rPr>
          <w:noProof/>
          <w:lang w:eastAsia="de-DE"/>
        </w:rPr>
        <mc:AlternateContent>
          <mc:Choice Requires="wps">
            <w:drawing>
              <wp:inline distT="0" distB="0" distL="0" distR="0">
                <wp:extent cx="5873115" cy="1810385"/>
                <wp:effectExtent l="9525" t="9525" r="13335" b="8890"/>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103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4AE4" w:rsidRDefault="00CE4AE4" w:rsidP="00CE4AE4">
                            <w:r>
                              <w:t xml:space="preserve">Da sich beim Lösen der Chlortablette in Wasser </w:t>
                            </w:r>
                            <w:proofErr w:type="spellStart"/>
                            <w:r>
                              <w:t>Hypochloritanionen</w:t>
                            </w:r>
                            <w:proofErr w:type="spellEnd"/>
                            <w:r>
                              <w:t xml:space="preserve"> bilden, kann auch ein en</w:t>
                            </w:r>
                            <w:r>
                              <w:t>t</w:t>
                            </w:r>
                            <w:r>
                              <w:t>sprechendes Salz anstelle einer Chlortablette verwendet werden. Da mit einer Tablette jedoch ein höherer Alltagsbezug hergestellt werden kann, ist ihre Verwendung zu empfehlen. In jedem Fall sollte die Lösung stark verdünnt sein. Der Kontext bietet sich an, um das Thema Mikr</w:t>
                            </w:r>
                            <w:r>
                              <w:t>o</w:t>
                            </w:r>
                            <w:r>
                              <w:t xml:space="preserve">organismen im </w:t>
                            </w:r>
                            <w:proofErr w:type="spellStart"/>
                            <w:r>
                              <w:t>NaWi-Unterricht</w:t>
                            </w:r>
                            <w:proofErr w:type="spellEnd"/>
                            <w:r>
                              <w:t xml:space="preserve"> zu behandeln. Die SuS können von verschiedenen Gegenstä</w:t>
                            </w:r>
                            <w:r>
                              <w:t>n</w:t>
                            </w:r>
                            <w:r>
                              <w:t>den (</w:t>
                            </w:r>
                            <w:proofErr w:type="spellStart"/>
                            <w:r>
                              <w:t>z.B</w:t>
                            </w:r>
                            <w:proofErr w:type="spellEnd"/>
                            <w:r>
                              <w:t xml:space="preserve">. Geldmünzen) und Orten Proben nehmen. Außerdem kann auf die Bedeutung des Händewaschens eingegangen werden. </w:t>
                            </w:r>
                          </w:p>
                        </w:txbxContent>
                      </wps:txbx>
                      <wps:bodyPr rot="0" vert="horz" wrap="square" lIns="91440" tIns="45720" rIns="91440" bIns="45720" anchor="t" anchorCtr="0" upright="1">
                        <a:noAutofit/>
                      </wps:bodyPr>
                    </wps:wsp>
                  </a:graphicData>
                </a:graphic>
              </wp:inline>
            </w:drawing>
          </mc:Choice>
          <mc:Fallback>
            <w:pict>
              <v:shape id="Textfeld 30" o:spid="_x0000_s1027" type="#_x0000_t202" style="width:462.45pt;height:1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tT7wIAADMGAAAOAAAAZHJzL2Uyb0RvYy54bWysVMlu2zAQvRfoPxC8O5K8KkLkwHbsokA3&#10;ICl6pknKIkqRKklbSov+e4ek7bjNoUURGxA4XN68Wd7c3PaNRAdurNCqxNlVihFXVDOhdiX+/LAZ&#10;5BhZRxQjUite4kdu8e389aubri34UNdaMm4QgChbdG2Ja+faIkksrXlD7JVuuYLDSpuGODDNLmGG&#10;dIDeyGSYptOk04a1RlNuLezexUM8D/hVxan7WFWWOyRLDNxc+Jrw3fpvMr8hxc6Qthb0SIP8B4uG&#10;CAVOz1B3xBG0N+IZVCOo0VZX7orqJtFVJSgPMUA0WfpHNPc1aXmIBZJj23Oa7MvB0g+HTwYJVuIR&#10;pEeRBmr0wHtXcckQbEF+utYWcO2+hYuuX+oe6hxite07Tb9apPSqJmrHF8boruaEAb/Mv0wunkYc&#10;60G23XvNwA/ZOx2A+so0PnmQDgToQOTxXBvggihsTvLZKMsmGFE4y/IsHeWT4IMUp+etse4N1w3y&#10;ixIbKH6AJ4d31nk6pDhd8d6sloJthJTB8A3HV9KgA4FWkS6GKPcNcI17Wep/sWNgH/oq7octwA49&#10;6yGCp9/QpUIdsB7O4P3fXBNKuXLDcO+F3Puo74itI18GqxhFIxyIT4qmxPlFcL6Ea8WCNBwRMq4h&#10;Qqk8eR5kFVMKVu9gGfahUqHlfyw2k3Q2HuWD2WwyGoxH63SwzDerwWKVTaez9XK1XGc/fYDZuKgF&#10;Y1ytA6Y9KTAb/1uHH2dB1M5Zg2eCnpXeQ4z3NesQE74rRpPrYYbBgCHg6+FLiojcwfSizmBktPsi&#10;XB2k55vQY1iz255bI5/6/7H1zuih5heOk2exxRs9pAoyecpaUIgXRZSH67d9EGOQj1fPVrNHkAyw&#10;CrqASQuLWpvvGHUwtUpsv+2J4RjJtwpkd52Nx37MBWM8mQ3BMJcn28sToihAldhBBsJy5eJo3LdG&#10;7GrwFFWg9AKkWokgoidWEIk3YDKFmI5T1I++Szvcepr1818AAAD//wMAUEsDBBQABgAIAAAAIQAr&#10;2Js93AAAAAUBAAAPAAAAZHJzL2Rvd25yZXYueG1sTI/NTsMwEITvSLyDtUjcqJPwozaNUwFS79BU&#10;Kty28TaOEq+j2G0DT4/hUi4rjWY0822xmmwvTjT61rGCdJaAIK6dbrlRsK3Wd3MQPiBr7B2Tgi/y&#10;sCqvrwrMtTvzO502oRGxhH2OCkwIQy6lrw1Z9DM3EEfv4EaLIcqxkXrEcyy3vcyS5ElabDkuGBzo&#10;1VDdbY5WQdfvXvAzbe7T9fZjVxn61t1bpdTtzfS8BBFoCpcw/OJHdCgj094dWXvRK4iPhL8bvUX2&#10;sACxV5DNH1OQZSH/05c/AAAA//8DAFBLAQItABQABgAIAAAAIQC2gziS/gAAAOEBAAATAAAAAAAA&#10;AAAAAAAAAAAAAABbQ29udGVudF9UeXBlc10ueG1sUEsBAi0AFAAGAAgAAAAhADj9If/WAAAAlAEA&#10;AAsAAAAAAAAAAAAAAAAALwEAAF9yZWxzLy5yZWxzUEsBAi0AFAAGAAgAAAAhAIIDm1PvAgAAMwYA&#10;AA4AAAAAAAAAAAAAAAAALgIAAGRycy9lMm9Eb2MueG1sUEsBAi0AFAAGAAgAAAAhACvYmz3cAAAA&#10;BQEAAA8AAAAAAAAAAAAAAAAASQUAAGRycy9kb3ducmV2LnhtbFBLBQYAAAAABAAEAPMAAABSBgAA&#10;AAA=&#10;" fillcolor="white [3201]" strokecolor="#c0504d [3205]" strokeweight="1pt">
                <v:stroke dashstyle="dash"/>
                <v:shadow color="#868686"/>
                <v:textbox>
                  <w:txbxContent>
                    <w:p w:rsidR="00CE4AE4" w:rsidRDefault="00CE4AE4" w:rsidP="00CE4AE4">
                      <w:r>
                        <w:t xml:space="preserve">Da sich beim Lösen der Chlortablette in Wasser </w:t>
                      </w:r>
                      <w:proofErr w:type="spellStart"/>
                      <w:r>
                        <w:t>Hypochloritanionen</w:t>
                      </w:r>
                      <w:proofErr w:type="spellEnd"/>
                      <w:r>
                        <w:t xml:space="preserve"> bilden, kann auch ein en</w:t>
                      </w:r>
                      <w:r>
                        <w:t>t</w:t>
                      </w:r>
                      <w:r>
                        <w:t>sprechendes Salz anstelle einer Chlortablette verwendet werden. Da mit einer Tablette jedoch ein höherer Alltagsbezug hergestellt werden kann, ist ihre Verwendung zu empfehlen. In jedem Fall sollte die Lösung stark verdünnt sein. Der Kontext bietet sich an, um das Thema Mikr</w:t>
                      </w:r>
                      <w:r>
                        <w:t>o</w:t>
                      </w:r>
                      <w:r>
                        <w:t xml:space="preserve">organismen im </w:t>
                      </w:r>
                      <w:proofErr w:type="spellStart"/>
                      <w:r>
                        <w:t>NaWi-Unterricht</w:t>
                      </w:r>
                      <w:proofErr w:type="spellEnd"/>
                      <w:r>
                        <w:t xml:space="preserve"> zu behandeln. Die SuS können von verschiedenen Gegenstä</w:t>
                      </w:r>
                      <w:r>
                        <w:t>n</w:t>
                      </w:r>
                      <w:r>
                        <w:t>den (</w:t>
                      </w:r>
                      <w:proofErr w:type="spellStart"/>
                      <w:r>
                        <w:t>z.B</w:t>
                      </w:r>
                      <w:proofErr w:type="spellEnd"/>
                      <w:r>
                        <w:t xml:space="preserve">. Geldmünzen) und Orten Proben nehmen. Außerdem kann auf die Bedeutung des Händewaschens eingegangen werden. </w:t>
                      </w:r>
                    </w:p>
                  </w:txbxContent>
                </v:textbox>
                <w10:anchorlock/>
              </v:shape>
            </w:pict>
          </mc:Fallback>
        </mc:AlternateContent>
      </w:r>
    </w:p>
    <w:p w:rsidR="00CE4AE4" w:rsidRDefault="00CE4AE4" w:rsidP="00CE4AE4">
      <w:pPr>
        <w:tabs>
          <w:tab w:val="left" w:pos="1701"/>
          <w:tab w:val="left" w:pos="1985"/>
        </w:tabs>
        <w:ind w:left="1980" w:hanging="1980"/>
      </w:pPr>
    </w:p>
    <w:p w:rsidR="00CE4AE4" w:rsidRDefault="00CE4AE4" w:rsidP="00CE4AE4">
      <w:pPr>
        <w:tabs>
          <w:tab w:val="left" w:pos="1701"/>
          <w:tab w:val="left" w:pos="1985"/>
        </w:tabs>
        <w:ind w:left="1980" w:hanging="1980"/>
      </w:pPr>
    </w:p>
    <w:p w:rsidR="00BE6DD9" w:rsidRPr="00CE4AE4" w:rsidRDefault="00BE6DD9" w:rsidP="00CE4AE4">
      <w:bookmarkStart w:id="1" w:name="_GoBack"/>
      <w:bookmarkEnd w:id="1"/>
    </w:p>
    <w:sectPr w:rsidR="00BE6DD9" w:rsidRPr="00CE4AE4" w:rsidSect="00105256">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EF" w:rsidRDefault="00CE5CEF" w:rsidP="009524CC">
      <w:pPr>
        <w:spacing w:after="0"/>
      </w:pPr>
      <w:r>
        <w:separator/>
      </w:r>
    </w:p>
  </w:endnote>
  <w:endnote w:type="continuationSeparator" w:id="0">
    <w:p w:rsidR="00CE5CEF" w:rsidRDefault="00CE5CEF"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EF" w:rsidRDefault="00CE5CEF" w:rsidP="009524CC">
      <w:pPr>
        <w:spacing w:after="0"/>
      </w:pPr>
      <w:r>
        <w:separator/>
      </w:r>
    </w:p>
  </w:footnote>
  <w:footnote w:type="continuationSeparator" w:id="0">
    <w:p w:rsidR="00CE5CEF" w:rsidRDefault="00CE5CEF"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CB3D8D">
            <w:rPr>
              <w:sz w:val="20"/>
              <w:szCs w:val="20"/>
            </w:rPr>
            <w:fldChar w:fldCharType="separate"/>
          </w:r>
          <w:r w:rsidR="00CE4AE4">
            <w:rPr>
              <w:noProof/>
              <w:sz w:val="20"/>
              <w:szCs w:val="20"/>
            </w:rPr>
            <w:t>V 5 – Desinfektion mittels einer Chlortablette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CE4AE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2230"/>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0E09"/>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3D8D"/>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4AE4"/>
    <w:rsid w:val="00CE589C"/>
    <w:rsid w:val="00CE5C61"/>
    <w:rsid w:val="00CE5CEF"/>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699"/>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 w:type="character" w:styleId="HTMLDefinition">
    <w:name w:val="HTML Definition"/>
    <w:basedOn w:val="Absatz-Standardschriftart"/>
    <w:uiPriority w:val="99"/>
    <w:semiHidden/>
    <w:unhideWhenUsed/>
    <w:rsid w:val="00C00E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 w:type="character" w:styleId="HTMLDefinition">
    <w:name w:val="HTML Definition"/>
    <w:basedOn w:val="Absatz-Standardschriftart"/>
    <w:uiPriority w:val="99"/>
    <w:semiHidden/>
    <w:unhideWhenUsed/>
    <w:rsid w:val="00C00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5622">
      <w:bodyDiv w:val="1"/>
      <w:marLeft w:val="0"/>
      <w:marRight w:val="0"/>
      <w:marTop w:val="0"/>
      <w:marBottom w:val="0"/>
      <w:divBdr>
        <w:top w:val="none" w:sz="0" w:space="0" w:color="auto"/>
        <w:left w:val="none" w:sz="0" w:space="0" w:color="auto"/>
        <w:bottom w:val="none" w:sz="0" w:space="0" w:color="auto"/>
        <w:right w:val="none" w:sz="0" w:space="0" w:color="auto"/>
      </w:divBdr>
    </w:div>
    <w:div w:id="218982540">
      <w:bodyDiv w:val="1"/>
      <w:marLeft w:val="0"/>
      <w:marRight w:val="0"/>
      <w:marTop w:val="0"/>
      <w:marBottom w:val="0"/>
      <w:divBdr>
        <w:top w:val="none" w:sz="0" w:space="0" w:color="auto"/>
        <w:left w:val="none" w:sz="0" w:space="0" w:color="auto"/>
        <w:bottom w:val="none" w:sz="0" w:space="0" w:color="auto"/>
        <w:right w:val="none" w:sz="0" w:space="0" w:color="auto"/>
      </w:divBdr>
    </w:div>
    <w:div w:id="705563877">
      <w:bodyDiv w:val="1"/>
      <w:marLeft w:val="0"/>
      <w:marRight w:val="0"/>
      <w:marTop w:val="0"/>
      <w:marBottom w:val="0"/>
      <w:divBdr>
        <w:top w:val="none" w:sz="0" w:space="0" w:color="auto"/>
        <w:left w:val="none" w:sz="0" w:space="0" w:color="auto"/>
        <w:bottom w:val="none" w:sz="0" w:space="0" w:color="auto"/>
        <w:right w:val="none" w:sz="0" w:space="0" w:color="auto"/>
      </w:divBdr>
    </w:div>
    <w:div w:id="102040043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89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BDA3-E1B6-43C7-97AF-6AC6DCD9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2013-07-08T15:42:00Z</dcterms:created>
  <dcterms:modified xsi:type="dcterms:W3CDTF">2013-07-08T15:42:00Z</dcterms:modified>
</cp:coreProperties>
</file>