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35" w:rsidRPr="00BF4135" w:rsidRDefault="00BF4135" w:rsidP="00BF4135">
      <w:pPr>
        <w:rPr>
          <w:b/>
          <w:sz w:val="32"/>
          <w:szCs w:val="32"/>
        </w:rPr>
      </w:pPr>
      <w:r w:rsidRPr="00BF4135">
        <w:rPr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35pt;margin-top:43.25pt;width:462.45pt;height:81.6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BF4135" w:rsidRPr="00883F21" w:rsidRDefault="00BF4135" w:rsidP="00BF4135">
                  <w:pPr>
                    <w:rPr>
                      <w:color w:val="auto"/>
                    </w:rPr>
                  </w:pPr>
                  <w:r w:rsidRPr="00883F21">
                    <w:rPr>
                      <w:color w:val="auto"/>
                    </w:rPr>
                    <w:t>Dieser Versuch veranschaulicht, dass unterschiedliche Stoffe verschiedene Diffusionsg</w:t>
                  </w:r>
                  <w:r w:rsidRPr="00883F21">
                    <w:rPr>
                      <w:color w:val="auto"/>
                    </w:rPr>
                    <w:t>e</w:t>
                  </w:r>
                  <w:r w:rsidRPr="00883F21">
                    <w:rPr>
                      <w:color w:val="auto"/>
                    </w:rPr>
                    <w:t>schwindigkeiten haben. Die SuS müssen die Diffusion als Phänomen kennen, um diese kompl</w:t>
                  </w:r>
                  <w:r w:rsidRPr="00883F21">
                    <w:rPr>
                      <w:color w:val="auto"/>
                    </w:rPr>
                    <w:t>e</w:t>
                  </w:r>
                  <w:r w:rsidRPr="00883F21">
                    <w:rPr>
                      <w:color w:val="auto"/>
                    </w:rPr>
                    <w:t>xe Erweiterung zu verstehen. Weiterhin sollte die Färbung der Reaktion</w:t>
                  </w:r>
                  <w:r>
                    <w:rPr>
                      <w:color w:val="auto"/>
                    </w:rPr>
                    <w:t xml:space="preserve"> von</w:t>
                  </w:r>
                  <w:r w:rsidRPr="00883F21">
                    <w:rPr>
                      <w:color w:val="auto"/>
                    </w:rPr>
                    <w:t xml:space="preserve">  Kupfersulfat und Ammoniak bekannt sein.</w:t>
                  </w:r>
                </w:p>
              </w:txbxContent>
            </v:textbox>
            <w10:wrap type="square"/>
          </v:shape>
        </w:pict>
      </w:r>
      <w:bookmarkStart w:id="0" w:name="_Toc364106863"/>
      <w:r w:rsidRPr="00BF4135">
        <w:rPr>
          <w:b/>
          <w:sz w:val="32"/>
          <w:szCs w:val="32"/>
        </w:rPr>
        <w:t>V1 – Diffusion in Gelantine-Lösung</w:t>
      </w:r>
      <w:bookmarkEnd w:id="0"/>
    </w:p>
    <w:p w:rsidR="00BF4135" w:rsidRPr="00C91847" w:rsidRDefault="00BF4135" w:rsidP="00BF4135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F4135" w:rsidRPr="009C5E28" w:rsidTr="002A1275">
        <w:tc>
          <w:tcPr>
            <w:tcW w:w="9322" w:type="dxa"/>
            <w:gridSpan w:val="9"/>
            <w:shd w:val="clear" w:color="auto" w:fill="4F81BD"/>
            <w:vAlign w:val="center"/>
          </w:tcPr>
          <w:p w:rsidR="00BF4135" w:rsidRPr="009C5E28" w:rsidRDefault="00BF4135" w:rsidP="002A1275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BF4135" w:rsidRPr="009C5E28" w:rsidTr="002A1275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Kupfersulfat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302-319-315-410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273-305+351+338-302+352</w:t>
            </w:r>
          </w:p>
        </w:tc>
      </w:tr>
      <w:tr w:rsidR="00BF4135" w:rsidRPr="009C5E28" w:rsidTr="002A12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Konz. Ammoniaklsg.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260-280.1+3+7-303+361+353-304+340-305+351+338-310</w:t>
            </w:r>
          </w:p>
        </w:tc>
      </w:tr>
      <w:tr w:rsidR="00BF4135" w:rsidRPr="009C5E28" w:rsidTr="002A12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F4135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4135" w:rsidRPr="009C5E28" w:rsidTr="002A1275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BF4135" w:rsidRPr="007945B6" w:rsidRDefault="00BF4135" w:rsidP="002A1275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Gelantine (gepulvert)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BF4135" w:rsidRPr="009C5E28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F4135" w:rsidRPr="009C5E28" w:rsidRDefault="00BF4135" w:rsidP="002A1275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F4135" w:rsidRPr="009C5E28" w:rsidTr="002A1275">
        <w:tc>
          <w:tcPr>
            <w:tcW w:w="1009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3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135" w:rsidRPr="009C5E28" w:rsidRDefault="00BF4135" w:rsidP="002A127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4135" w:rsidRDefault="00BF4135" w:rsidP="00BF4135">
      <w:r>
        <w:t xml:space="preserve">Materialien: </w:t>
      </w:r>
      <w:r>
        <w:tab/>
      </w:r>
      <w:r>
        <w:tab/>
        <w:t>Reagenzglas, Becherglas, Kochplatte mit Rührer, Eisbad oder Kühlschrank</w:t>
      </w:r>
    </w:p>
    <w:p w:rsidR="00BF4135" w:rsidRDefault="00BF4135" w:rsidP="00BF4135">
      <w:r>
        <w:t xml:space="preserve">Chemikalien: </w:t>
      </w:r>
      <w:r>
        <w:tab/>
      </w:r>
      <w:r>
        <w:tab/>
        <w:t>Gelantine, Kupfersulfat, konz. Ammoniaklsg., Wasser</w:t>
      </w:r>
    </w:p>
    <w:p w:rsidR="00BF4135" w:rsidRDefault="00BF4135" w:rsidP="00BF4135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2282825</wp:posOffset>
            </wp:positionV>
            <wp:extent cx="3321050" cy="1854200"/>
            <wp:effectExtent l="19050" t="0" r="0" b="0"/>
            <wp:wrapSquare wrapText="bothSides"/>
            <wp:docPr id="4" name="Bild 4" descr="Gepöa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pöa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Durchführung:</w:t>
      </w:r>
      <w:r>
        <w:tab/>
        <w:t>Es werden 100 mL einer 5 %-igen Gelantine-Lösung hergestellt. Davon werden 25 mL mit einer Spatelspitze Kupfersulfatlösung in ein Reagen</w:t>
      </w:r>
      <w:r>
        <w:t>z</w:t>
      </w:r>
      <w:r>
        <w:t>glas gegeben und im Kühlschrank (oder Eisbad) ausgehärtet. Ist die erste Schicht hart geworden, so kann eine zweite Schicht bestehend aus 25 mL der Gelantine-Lösung auf die Erste gegeben und ebenfalls zum Aushärten in den Kühlschrank gestellt werden. Ist diese Schicht ebenfalls hart g</w:t>
      </w:r>
      <w:r>
        <w:t>e</w:t>
      </w:r>
      <w:r>
        <w:t>worden, kann eine dritte Schicht bestehend aus 25 mL der Gelantine-Lösung und 2-3 mL Ammoniak zugegeben und ebenfalls im Kühlschrank ausgehärtet werden. Das Reagenzglas wird für einen Tag im Kühlschrank belassen.</w:t>
      </w:r>
    </w:p>
    <w:p w:rsidR="00BF4135" w:rsidRDefault="00BF4135" w:rsidP="00BF4135">
      <w:pPr>
        <w:ind w:left="2124" w:hanging="2124"/>
      </w:pPr>
      <w:r>
        <w:rPr>
          <w:noProof/>
        </w:rPr>
        <w:pict>
          <v:shape id="_x0000_s1029" type="#_x0000_t202" style="position:absolute;left:0;text-align:left;margin-left:253.2pt;margin-top:107.5pt;width:207.15pt;height:33.05pt;z-index:251662336;mso-height-percent:200;mso-height-percent:200;mso-width-relative:margin;mso-height-relative:margin" strokecolor="white [3212]" strokeweight="0">
            <v:fill opacity="0"/>
            <v:textbox style="mso-fit-shape-to-text:t">
              <w:txbxContent>
                <w:p w:rsidR="00BF4135" w:rsidRPr="00DC3251" w:rsidRDefault="00BF4135" w:rsidP="00BF4135">
                  <w:pPr>
                    <w:rPr>
                      <w:sz w:val="18"/>
                      <w:szCs w:val="18"/>
                    </w:rPr>
                  </w:pPr>
                  <w:r w:rsidRPr="00DC3251">
                    <w:rPr>
                      <w:sz w:val="18"/>
                      <w:szCs w:val="18"/>
                    </w:rPr>
                    <w:t>Abb.1 - Skizze</w:t>
                  </w:r>
                  <w:r>
                    <w:rPr>
                      <w:sz w:val="18"/>
                      <w:szCs w:val="18"/>
                    </w:rPr>
                    <w:t xml:space="preserve"> zum</w:t>
                  </w:r>
                  <w:r w:rsidRPr="00DC3251">
                    <w:rPr>
                      <w:sz w:val="18"/>
                      <w:szCs w:val="18"/>
                    </w:rPr>
                    <w:t xml:space="preserve"> Versuchsablauf</w:t>
                  </w:r>
                  <w:r>
                    <w:rPr>
                      <w:sz w:val="18"/>
                      <w:szCs w:val="18"/>
                    </w:rPr>
                    <w:t xml:space="preserve"> der Diffusion</w:t>
                  </w:r>
                </w:p>
              </w:txbxContent>
            </v:textbox>
            <w10:wrap type="square"/>
          </v:shape>
        </w:pict>
      </w:r>
      <w:r>
        <w:t xml:space="preserve">Beobachtung: </w:t>
      </w:r>
      <w:r>
        <w:tab/>
        <w:t xml:space="preserve">Sowohl Ammoniak (gelb) als auch Kupfersulfat (blau) diffundieren in die Zwischenschicht (grau). Nach einem Tag hat sich ein Tiefblauer Ring </w:t>
      </w:r>
      <w:r>
        <w:lastRenderedPageBreak/>
        <w:t>gebildet, der sich langsam in Richtung der unt</w:t>
      </w:r>
      <w:r>
        <w:t>e</w:t>
      </w:r>
      <w:r>
        <w:t>ren Schicht bewegt.</w:t>
      </w:r>
    </w:p>
    <w:p w:rsidR="00BF4135" w:rsidRDefault="00BF4135" w:rsidP="00BF4135">
      <w:pPr>
        <w:ind w:left="2124" w:hanging="2124"/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-243840</wp:posOffset>
            </wp:positionV>
            <wp:extent cx="2035810" cy="2600325"/>
            <wp:effectExtent l="19050" t="0" r="2540" b="0"/>
            <wp:wrapSquare wrapText="bothSides"/>
            <wp:docPr id="6" name="Bild 6" descr="G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l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pict>
          <v:shape id="_x0000_s1031" type="#_x0000_t202" style="position:absolute;left:0;text-align:left;margin-left:286.55pt;margin-top:190pt;width:181.35pt;height:33.05pt;z-index:251664384;mso-width-percent:400;mso-height-percent:200;mso-position-horizontal-relative:text;mso-position-vertical-relative:text;mso-width-percent:400;mso-height-percent:200;mso-width-relative:margin;mso-height-relative:margin" strokecolor="white [3212]" strokeweight="0">
            <v:fill opacity="0"/>
            <v:textbox style="mso-fit-shape-to-text:t">
              <w:txbxContent>
                <w:p w:rsidR="00BF4135" w:rsidRPr="00DC3251" w:rsidRDefault="00BF4135" w:rsidP="00BF4135">
                  <w:pPr>
                    <w:rPr>
                      <w:sz w:val="18"/>
                      <w:szCs w:val="18"/>
                    </w:rPr>
                  </w:pPr>
                  <w:r w:rsidRPr="00DC3251">
                    <w:rPr>
                      <w:sz w:val="18"/>
                      <w:szCs w:val="18"/>
                    </w:rPr>
                    <w:t>Abb.2 - Diffusion in Gelantine</w:t>
                  </w:r>
                </w:p>
              </w:txbxContent>
            </v:textbox>
            <w10:wrap type="square"/>
          </v:shape>
        </w:pict>
      </w:r>
      <w:r>
        <w:t>Deutung:</w:t>
      </w:r>
      <w:r>
        <w:tab/>
        <w:t>Trifft Kupfersulfat auf Ammoniak bilden sich Tetraamin-Kupferionen mit einer tiefblauen Färbung. Die Gelantine-Lösung dient dazu die Di</w:t>
      </w:r>
      <w:r>
        <w:t>f</w:t>
      </w:r>
      <w:r>
        <w:t>fusion so langsam zu gestalten, dass man sie beobachten kann. Ammoniak diffundieren deutlich schneller als das wesentlich schwerere Ku</w:t>
      </w:r>
      <w:r>
        <w:t>p</w:t>
      </w:r>
      <w:r>
        <w:t>fersulfat. Das Ammoniak-Molekül ist einhergehend mit der geringeren Masse auch wesentlich kleiner, weshalb der blaue Ring zunächst in der Nähe der Ku</w:t>
      </w:r>
      <w:r>
        <w:t>p</w:t>
      </w:r>
      <w:r>
        <w:t>fersulfatschicht entsteht.</w:t>
      </w:r>
    </w:p>
    <w:p w:rsidR="00BF4135" w:rsidRPr="008F32E6" w:rsidRDefault="00BF4135" w:rsidP="00BF4135">
      <w:pPr>
        <w:ind w:left="2124" w:hanging="2124"/>
      </w:pPr>
      <w:r>
        <w:t>Entsorgung:</w:t>
      </w:r>
      <w:r>
        <w:tab/>
        <w:t>Zur Entsorgung wird das Reagenzglas erhitzt und das verflüssigte G</w:t>
      </w:r>
      <w:r>
        <w:t>e</w:t>
      </w:r>
      <w:r>
        <w:t>misch in den Sammelbehälter für schwermetallhaltige Abfälle getan.</w:t>
      </w:r>
    </w:p>
    <w:p w:rsidR="00BF4135" w:rsidRDefault="00BF4135" w:rsidP="00BF413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Literatur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[1] Prof. Dr. Volker Schneider, Experimente in der Schule - Diffusion,</w:t>
      </w:r>
      <w:r>
        <w:rPr>
          <w:rFonts w:eastAsiaTheme="minorEastAsia"/>
        </w:rPr>
        <w:br/>
      </w:r>
      <w:r>
        <w:tab/>
      </w:r>
      <w:r>
        <w:tab/>
      </w:r>
      <w:r w:rsidRPr="0030777E">
        <w:t>http://www.experimente-in-der-schule.de/sekundarstufe/lebewesen_</w:t>
      </w:r>
      <w:r>
        <w:t xml:space="preserve"> </w:t>
      </w:r>
      <w:r>
        <w:tab/>
      </w:r>
      <w:r>
        <w:tab/>
      </w:r>
      <w:r w:rsidRPr="0030777E">
        <w:t>wasser</w:t>
      </w:r>
      <w:r>
        <w:t xml:space="preserve"> </w:t>
      </w:r>
      <w:r w:rsidRPr="0030777E">
        <w:t>.php?offset=5</w:t>
      </w:r>
      <w:r>
        <w:t>, zuletzt abgerufen am 01.08.2013</w:t>
      </w:r>
    </w:p>
    <w:p w:rsidR="00BF4135" w:rsidRDefault="00BF4135" w:rsidP="00BF413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F646E8">
        <w:pict>
          <v:shape id="_x0000_s1026" type="#_x0000_t202" style="width:462.45pt;height:180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BF4135" w:rsidRDefault="00BF4135" w:rsidP="00BF4135">
                  <w:pPr>
                    <w:contextualSpacing/>
                    <w:rPr>
                      <w:color w:val="auto"/>
                    </w:rPr>
                  </w:pPr>
                  <w:r w:rsidRPr="005F3AE7">
                    <w:rPr>
                      <w:color w:val="auto"/>
                    </w:rPr>
                    <w:t xml:space="preserve">Mit diesen Versuch kann SuS die Diffusion in Feststoffen näher gebracht werden. </w:t>
                  </w:r>
                  <w:r w:rsidRPr="005F3AE7">
                    <w:rPr>
                      <w:color w:val="auto"/>
                    </w:rPr>
                    <w:br/>
                    <w:t>Eine leichte Fehlerquelle besteht darin, dass die Kupferschicht noch nicht genug ausgehärtet ist und oder die zugegebene Zwischenschicht noch zu warm. Dies ermöglicht das Lösen von Ku</w:t>
                  </w:r>
                  <w:r w:rsidRPr="005F3AE7">
                    <w:rPr>
                      <w:color w:val="auto"/>
                    </w:rPr>
                    <w:t>p</w:t>
                  </w:r>
                  <w:r w:rsidRPr="005F3AE7">
                    <w:rPr>
                      <w:color w:val="auto"/>
                    </w:rPr>
                    <w:t>fersulfat in der Zwischenschicht. So kann trotzdem das Diffusionsverhalten in Form eines tiefblauen Farbrings beobachtet werden, allerdings nicht die unterschiedlichen Diffusionsg</w:t>
                  </w:r>
                  <w:r w:rsidRPr="005F3AE7">
                    <w:rPr>
                      <w:color w:val="auto"/>
                    </w:rPr>
                    <w:t>e</w:t>
                  </w:r>
                  <w:r w:rsidRPr="005F3AE7">
                    <w:rPr>
                      <w:color w:val="auto"/>
                    </w:rPr>
                    <w:t>schwindigkeiten. Weiterhin wäre es bei dieser Konstellation auch nicht nötig eine Zwische</w:t>
                  </w:r>
                  <w:r w:rsidRPr="005F3AE7"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schicht </w:t>
                  </w:r>
                  <w:r w:rsidRPr="005F3AE7">
                    <w:rPr>
                      <w:color w:val="auto"/>
                    </w:rPr>
                    <w:t xml:space="preserve">einzufügen. </w:t>
                  </w:r>
                </w:p>
                <w:p w:rsidR="00BF4135" w:rsidRPr="005F3AE7" w:rsidRDefault="00BF4135" w:rsidP="00BF4135">
                  <w:pPr>
                    <w:contextualSpacing/>
                    <w:rPr>
                      <w:color w:val="auto"/>
                    </w:rPr>
                  </w:pPr>
                  <w:r w:rsidRPr="005F3AE7">
                    <w:rPr>
                      <w:color w:val="auto"/>
                    </w:rPr>
                    <w:t>Eine weitere vorstellbare Variante des Versuchs könnte anstelle von Kupfersulfat und Amm</w:t>
                  </w:r>
                  <w:r w:rsidRPr="005F3AE7">
                    <w:rPr>
                      <w:color w:val="auto"/>
                    </w:rPr>
                    <w:t>o</w:t>
                  </w:r>
                  <w:r w:rsidRPr="005F3AE7">
                    <w:rPr>
                      <w:color w:val="auto"/>
                    </w:rPr>
                    <w:t xml:space="preserve">niak ein Eisen(III)-salz und gelbes Blutlaugensalz enthalten. </w:t>
                  </w:r>
                </w:p>
              </w:txbxContent>
            </v:textbox>
            <w10:wrap type="none"/>
            <w10:anchorlock/>
          </v:shape>
        </w:pict>
      </w:r>
    </w:p>
    <w:p w:rsidR="00C31120" w:rsidRPr="00BF4135" w:rsidRDefault="00C31120" w:rsidP="00BF4135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Cs w:val="26"/>
        </w:rPr>
      </w:pPr>
    </w:p>
    <w:sectPr w:rsidR="00C31120" w:rsidRPr="00BF4135" w:rsidSect="00C31120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4BF" w:rsidRDefault="001824BF" w:rsidP="00BF4135">
      <w:pPr>
        <w:spacing w:after="0" w:line="240" w:lineRule="auto"/>
      </w:pPr>
      <w:r>
        <w:separator/>
      </w:r>
    </w:p>
  </w:endnote>
  <w:endnote w:type="continuationSeparator" w:id="1">
    <w:p w:rsidR="001824BF" w:rsidRDefault="001824BF" w:rsidP="00BF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4BF" w:rsidRDefault="001824BF" w:rsidP="00BF4135">
      <w:pPr>
        <w:spacing w:after="0" w:line="240" w:lineRule="auto"/>
      </w:pPr>
      <w:r>
        <w:separator/>
      </w:r>
    </w:p>
  </w:footnote>
  <w:footnote w:type="continuationSeparator" w:id="1">
    <w:p w:rsidR="001824BF" w:rsidRDefault="001824BF" w:rsidP="00BF4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135" w:rsidRDefault="00BF4135">
    <w:pPr>
      <w:pStyle w:val="Kopfzeile"/>
    </w:pPr>
    <w:r>
      <w:t>V1 - Diffusion in Gelantine-Lösung</w:t>
    </w:r>
    <w:r>
      <w:ptab w:relativeTo="margin" w:alignment="center" w:leader="none"/>
    </w:r>
    <w:r>
      <w:ptab w:relativeTo="margin" w:alignment="right" w:leader="none"/>
    </w:r>
    <w:fldSimple w:instr=" PAGE   \* MERGEFORMAT 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35"/>
    <w:rsid w:val="001824BF"/>
    <w:rsid w:val="009A7400"/>
    <w:rsid w:val="00B871EC"/>
    <w:rsid w:val="00BF4135"/>
    <w:rsid w:val="00C3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13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413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F413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F413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413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413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413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413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413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413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413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413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413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4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4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4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41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4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F4135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135"/>
    <w:rPr>
      <w:rFonts w:ascii="Tahoma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F4135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semiHidden/>
    <w:unhideWhenUsed/>
    <w:rsid w:val="00BF4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F4135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Company>Frost-RL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Wuttke</dc:creator>
  <cp:lastModifiedBy>Axel Wuttke</cp:lastModifiedBy>
  <cp:revision>1</cp:revision>
  <dcterms:created xsi:type="dcterms:W3CDTF">2013-08-12T19:38:00Z</dcterms:created>
  <dcterms:modified xsi:type="dcterms:W3CDTF">2013-08-12T19:41:00Z</dcterms:modified>
</cp:coreProperties>
</file>