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994" w:rsidRPr="00C25994" w:rsidRDefault="00CC1904" w:rsidP="00C25994">
      <w:pPr>
        <w:rPr>
          <w:b/>
          <w:sz w:val="32"/>
          <w:szCs w:val="32"/>
        </w:rPr>
      </w:pPr>
      <w:r>
        <w:rPr>
          <w:b/>
          <w:noProof/>
          <w:sz w:val="32"/>
          <w:szCs w:val="32"/>
          <w:lang w:eastAsia="de-DE"/>
        </w:rPr>
        <w:pict>
          <v:shapetype id="_x0000_t202" coordsize="21600,21600" o:spt="202" path="m,l,21600r21600,l21600,xe">
            <v:stroke joinstyle="miter"/>
            <v:path gradientshapeok="t" o:connecttype="rect"/>
          </v:shapetype>
          <v:shape id="_x0000_s1039" type="#_x0000_t202" style="position:absolute;left:0;text-align:left;margin-left:-1.75pt;margin-top:49.9pt;width:462.45pt;height:77.7pt;z-index:251660288;mso-width-relative:margin;mso-height-relative:margin" fillcolor="white [3201]" strokecolor="#4bacc6 [3208]" strokeweight="1pt">
            <v:stroke dashstyle="dash"/>
            <v:shadow color="#868686"/>
            <v:textbox style="mso-next-textbox:#_x0000_s1039">
              <w:txbxContent>
                <w:p w:rsidR="00C25994" w:rsidRPr="00883F21" w:rsidRDefault="00C25994" w:rsidP="00C25994">
                  <w:pPr>
                    <w:rPr>
                      <w:color w:val="auto"/>
                    </w:rPr>
                  </w:pPr>
                  <w:r w:rsidRPr="00883F21">
                    <w:rPr>
                      <w:color w:val="auto"/>
                    </w:rPr>
                    <w:t>Dieses Experiment zeichnet sich durch seinen beeindruckenden Farbverlauf aus und zeigt, wie die Diffusion unterschiedlicher Salze in Wasser verläuft. Die SuS sollten bereits mit der Diffusion vertraut sein und die Reaktion von gelben Blautlaugensalz und Eisen(III)-salzen in Lösung kennen.</w:t>
                  </w:r>
                </w:p>
              </w:txbxContent>
            </v:textbox>
            <w10:wrap type="square"/>
          </v:shape>
        </w:pict>
      </w:r>
      <w:bookmarkStart w:id="0" w:name="_Toc364106866"/>
      <w:r w:rsidR="00C25994" w:rsidRPr="00C25994">
        <w:rPr>
          <w:b/>
          <w:sz w:val="32"/>
          <w:szCs w:val="32"/>
        </w:rPr>
        <w:t>V3 – Bildung von Berliner Blau</w:t>
      </w:r>
      <w:bookmarkEnd w:id="0"/>
    </w:p>
    <w:p w:rsidR="00C25994" w:rsidRPr="006B2896" w:rsidRDefault="00C25994" w:rsidP="00C25994"/>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C25994" w:rsidRPr="009C5E28" w:rsidTr="002A1275">
        <w:tc>
          <w:tcPr>
            <w:tcW w:w="9322" w:type="dxa"/>
            <w:gridSpan w:val="9"/>
            <w:shd w:val="clear" w:color="auto" w:fill="4F81BD"/>
            <w:vAlign w:val="center"/>
          </w:tcPr>
          <w:p w:rsidR="00C25994" w:rsidRPr="009C5E28" w:rsidRDefault="00C25994" w:rsidP="002A1275">
            <w:pPr>
              <w:spacing w:after="0"/>
              <w:jc w:val="center"/>
              <w:rPr>
                <w:b/>
                <w:bCs/>
              </w:rPr>
            </w:pPr>
            <w:r w:rsidRPr="009C5E28">
              <w:rPr>
                <w:b/>
                <w:bCs/>
              </w:rPr>
              <w:t>Gefahrenstoffe</w:t>
            </w:r>
          </w:p>
        </w:tc>
      </w:tr>
      <w:tr w:rsidR="00C25994" w:rsidRPr="009C5E28" w:rsidTr="002A1275">
        <w:trPr>
          <w:trHeight w:val="437"/>
        </w:trPr>
        <w:tc>
          <w:tcPr>
            <w:tcW w:w="3027" w:type="dxa"/>
            <w:gridSpan w:val="3"/>
            <w:shd w:val="clear" w:color="auto" w:fill="auto"/>
            <w:vAlign w:val="center"/>
          </w:tcPr>
          <w:p w:rsidR="00C25994" w:rsidRPr="009C5E28" w:rsidRDefault="00C25994" w:rsidP="002A1275">
            <w:pPr>
              <w:spacing w:after="0" w:line="276" w:lineRule="auto"/>
              <w:jc w:val="center"/>
              <w:rPr>
                <w:b/>
                <w:bCs/>
              </w:rPr>
            </w:pPr>
            <w:r>
              <w:rPr>
                <w:sz w:val="20"/>
              </w:rPr>
              <w:t>Gelbes Blutlaugensalz</w:t>
            </w:r>
          </w:p>
        </w:tc>
        <w:tc>
          <w:tcPr>
            <w:tcW w:w="3177" w:type="dxa"/>
            <w:gridSpan w:val="3"/>
            <w:shd w:val="clear" w:color="auto" w:fill="auto"/>
            <w:vAlign w:val="center"/>
          </w:tcPr>
          <w:p w:rsidR="00C25994" w:rsidRPr="009C5E28" w:rsidRDefault="00C25994" w:rsidP="002A1275">
            <w:pPr>
              <w:spacing w:after="0"/>
              <w:jc w:val="center"/>
            </w:pPr>
            <w:r>
              <w:rPr>
                <w:sz w:val="20"/>
              </w:rPr>
              <w:t>H: 412</w:t>
            </w:r>
          </w:p>
        </w:tc>
        <w:tc>
          <w:tcPr>
            <w:tcW w:w="3118" w:type="dxa"/>
            <w:gridSpan w:val="3"/>
            <w:shd w:val="clear" w:color="auto" w:fill="auto"/>
            <w:vAlign w:val="center"/>
          </w:tcPr>
          <w:p w:rsidR="00C25994" w:rsidRPr="009C5E28" w:rsidRDefault="00C25994" w:rsidP="002A1275">
            <w:pPr>
              <w:spacing w:after="0"/>
              <w:jc w:val="center"/>
            </w:pPr>
            <w:r w:rsidRPr="009C5E28">
              <w:rPr>
                <w:sz w:val="20"/>
              </w:rPr>
              <w:t xml:space="preserve">P: </w:t>
            </w:r>
            <w:r>
              <w:t>273</w:t>
            </w:r>
          </w:p>
        </w:tc>
      </w:tr>
      <w:tr w:rsidR="00C25994" w:rsidRPr="009C5E28" w:rsidTr="002A1275">
        <w:trPr>
          <w:trHeight w:val="434"/>
        </w:trPr>
        <w:tc>
          <w:tcPr>
            <w:tcW w:w="3027" w:type="dxa"/>
            <w:gridSpan w:val="3"/>
            <w:shd w:val="clear" w:color="auto" w:fill="auto"/>
            <w:vAlign w:val="center"/>
          </w:tcPr>
          <w:p w:rsidR="00C25994" w:rsidRDefault="00C25994" w:rsidP="002A1275">
            <w:pPr>
              <w:spacing w:after="0" w:line="276" w:lineRule="auto"/>
              <w:jc w:val="center"/>
              <w:rPr>
                <w:color w:val="auto"/>
                <w:sz w:val="20"/>
                <w:szCs w:val="20"/>
              </w:rPr>
            </w:pPr>
            <w:r>
              <w:rPr>
                <w:color w:val="auto"/>
                <w:sz w:val="20"/>
                <w:szCs w:val="20"/>
              </w:rPr>
              <w:t>Eisen(III)-nitrat</w:t>
            </w:r>
          </w:p>
        </w:tc>
        <w:tc>
          <w:tcPr>
            <w:tcW w:w="3177" w:type="dxa"/>
            <w:gridSpan w:val="3"/>
            <w:shd w:val="clear" w:color="auto" w:fill="auto"/>
            <w:vAlign w:val="center"/>
          </w:tcPr>
          <w:p w:rsidR="00C25994" w:rsidRDefault="00C25994" w:rsidP="002A1275">
            <w:pPr>
              <w:pStyle w:val="Beschriftung"/>
              <w:spacing w:after="0"/>
              <w:jc w:val="center"/>
              <w:rPr>
                <w:sz w:val="20"/>
              </w:rPr>
            </w:pPr>
            <w:r>
              <w:rPr>
                <w:sz w:val="20"/>
              </w:rPr>
              <w:t>H: 272-315-319</w:t>
            </w:r>
          </w:p>
        </w:tc>
        <w:tc>
          <w:tcPr>
            <w:tcW w:w="3118" w:type="dxa"/>
            <w:gridSpan w:val="3"/>
            <w:shd w:val="clear" w:color="auto" w:fill="auto"/>
            <w:vAlign w:val="center"/>
          </w:tcPr>
          <w:p w:rsidR="00C25994" w:rsidRDefault="00C25994" w:rsidP="002A1275">
            <w:pPr>
              <w:pStyle w:val="Beschriftung"/>
              <w:spacing w:after="0"/>
              <w:jc w:val="center"/>
              <w:rPr>
                <w:sz w:val="20"/>
              </w:rPr>
            </w:pPr>
            <w:r>
              <w:rPr>
                <w:sz w:val="20"/>
              </w:rPr>
              <w:t>P: 302+352-305+351+338</w:t>
            </w:r>
          </w:p>
        </w:tc>
      </w:tr>
      <w:tr w:rsidR="00C25994" w:rsidRPr="009C5E28" w:rsidTr="002A1275">
        <w:trPr>
          <w:trHeight w:val="434"/>
        </w:trPr>
        <w:tc>
          <w:tcPr>
            <w:tcW w:w="3027" w:type="dxa"/>
            <w:gridSpan w:val="3"/>
            <w:shd w:val="clear" w:color="auto" w:fill="auto"/>
            <w:vAlign w:val="center"/>
          </w:tcPr>
          <w:p w:rsidR="00C25994" w:rsidRDefault="00C25994" w:rsidP="002A1275">
            <w:pPr>
              <w:spacing w:after="0" w:line="276" w:lineRule="auto"/>
              <w:jc w:val="center"/>
              <w:rPr>
                <w:color w:val="auto"/>
                <w:sz w:val="20"/>
                <w:szCs w:val="20"/>
              </w:rPr>
            </w:pPr>
            <w:r>
              <w:rPr>
                <w:color w:val="auto"/>
                <w:sz w:val="20"/>
                <w:szCs w:val="20"/>
              </w:rPr>
              <w:t>Dest. Wasser</w:t>
            </w:r>
          </w:p>
        </w:tc>
        <w:tc>
          <w:tcPr>
            <w:tcW w:w="3177" w:type="dxa"/>
            <w:gridSpan w:val="3"/>
            <w:shd w:val="clear" w:color="auto" w:fill="auto"/>
            <w:vAlign w:val="center"/>
          </w:tcPr>
          <w:p w:rsidR="00C25994" w:rsidRDefault="00C25994" w:rsidP="002A1275">
            <w:pPr>
              <w:pStyle w:val="Beschriftung"/>
              <w:spacing w:after="0"/>
              <w:jc w:val="center"/>
              <w:rPr>
                <w:sz w:val="20"/>
              </w:rPr>
            </w:pPr>
            <w:r>
              <w:rPr>
                <w:sz w:val="20"/>
              </w:rPr>
              <w:t>-</w:t>
            </w:r>
          </w:p>
        </w:tc>
        <w:tc>
          <w:tcPr>
            <w:tcW w:w="3118" w:type="dxa"/>
            <w:gridSpan w:val="3"/>
            <w:shd w:val="clear" w:color="auto" w:fill="auto"/>
            <w:vAlign w:val="center"/>
          </w:tcPr>
          <w:p w:rsidR="00C25994" w:rsidRDefault="00C25994" w:rsidP="002A1275">
            <w:pPr>
              <w:pStyle w:val="Beschriftung"/>
              <w:spacing w:after="0"/>
              <w:jc w:val="center"/>
              <w:rPr>
                <w:sz w:val="20"/>
              </w:rPr>
            </w:pPr>
            <w:r>
              <w:rPr>
                <w:sz w:val="20"/>
              </w:rPr>
              <w:t>-</w:t>
            </w:r>
          </w:p>
        </w:tc>
      </w:tr>
      <w:tr w:rsidR="00C25994" w:rsidRPr="009C5E28" w:rsidTr="002A1275">
        <w:tc>
          <w:tcPr>
            <w:tcW w:w="1009" w:type="dxa"/>
            <w:shd w:val="clear" w:color="auto" w:fill="auto"/>
            <w:vAlign w:val="center"/>
          </w:tcPr>
          <w:p w:rsidR="00C25994" w:rsidRPr="009C5E28" w:rsidRDefault="00C25994" w:rsidP="002A1275">
            <w:pPr>
              <w:spacing w:after="0"/>
              <w:jc w:val="center"/>
              <w:rPr>
                <w:b/>
                <w:bCs/>
              </w:rPr>
            </w:pPr>
            <w:r>
              <w:rPr>
                <w:b/>
                <w:noProof/>
                <w:lang w:eastAsia="de-DE"/>
              </w:rPr>
              <w:drawing>
                <wp:inline distT="0" distB="0" distL="0" distR="0">
                  <wp:extent cx="504190" cy="504190"/>
                  <wp:effectExtent l="19050" t="0" r="0" b="0"/>
                  <wp:docPr id="10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C25994" w:rsidRPr="009C5E28" w:rsidRDefault="00C25994" w:rsidP="002A1275">
            <w:pPr>
              <w:spacing w:after="0"/>
              <w:jc w:val="center"/>
            </w:pPr>
            <w:r>
              <w:rPr>
                <w:noProof/>
                <w:lang w:eastAsia="de-DE"/>
              </w:rPr>
              <w:drawing>
                <wp:inline distT="0" distB="0" distL="0" distR="0">
                  <wp:extent cx="504190" cy="504190"/>
                  <wp:effectExtent l="19050" t="0" r="0" b="0"/>
                  <wp:docPr id="11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C25994" w:rsidRPr="009C5E28" w:rsidRDefault="00C25994" w:rsidP="002A1275">
            <w:pPr>
              <w:spacing w:after="0"/>
              <w:jc w:val="center"/>
            </w:pPr>
            <w:r>
              <w:rPr>
                <w:noProof/>
                <w:lang w:eastAsia="de-DE"/>
              </w:rPr>
              <w:drawing>
                <wp:inline distT="0" distB="0" distL="0" distR="0">
                  <wp:extent cx="504190" cy="504190"/>
                  <wp:effectExtent l="0" t="0" r="0" b="0"/>
                  <wp:docPr id="11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C25994" w:rsidRPr="009C5E28" w:rsidRDefault="00C25994" w:rsidP="002A1275">
            <w:pPr>
              <w:spacing w:after="0"/>
              <w:jc w:val="center"/>
            </w:pPr>
            <w:r>
              <w:rPr>
                <w:noProof/>
                <w:lang w:eastAsia="de-DE"/>
              </w:rPr>
              <w:drawing>
                <wp:inline distT="0" distB="0" distL="0" distR="0">
                  <wp:extent cx="504190" cy="504190"/>
                  <wp:effectExtent l="0" t="0" r="0" b="0"/>
                  <wp:docPr id="11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C25994" w:rsidRPr="009C5E28" w:rsidRDefault="00C25994" w:rsidP="002A1275">
            <w:pPr>
              <w:spacing w:after="0"/>
              <w:jc w:val="center"/>
            </w:pPr>
            <w:r>
              <w:rPr>
                <w:noProof/>
                <w:lang w:eastAsia="de-DE"/>
              </w:rPr>
              <w:drawing>
                <wp:inline distT="0" distB="0" distL="0" distR="0">
                  <wp:extent cx="504190" cy="504190"/>
                  <wp:effectExtent l="0" t="0" r="0" b="0"/>
                  <wp:docPr id="11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C25994" w:rsidRPr="009C5E28" w:rsidRDefault="00C25994" w:rsidP="002A1275">
            <w:pPr>
              <w:spacing w:after="0"/>
              <w:jc w:val="center"/>
            </w:pPr>
            <w:r>
              <w:rPr>
                <w:noProof/>
                <w:lang w:eastAsia="de-DE"/>
              </w:rPr>
              <w:drawing>
                <wp:inline distT="0" distB="0" distL="0" distR="0">
                  <wp:extent cx="504190" cy="504190"/>
                  <wp:effectExtent l="0" t="0" r="0" b="0"/>
                  <wp:docPr id="11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C25994" w:rsidRPr="009C5E28" w:rsidRDefault="00C25994" w:rsidP="002A1275">
            <w:pPr>
              <w:spacing w:after="0"/>
              <w:jc w:val="center"/>
            </w:pPr>
            <w:r>
              <w:rPr>
                <w:noProof/>
                <w:lang w:eastAsia="de-DE"/>
              </w:rPr>
              <w:drawing>
                <wp:inline distT="0" distB="0" distL="0" distR="0">
                  <wp:extent cx="504190" cy="504190"/>
                  <wp:effectExtent l="0" t="0" r="0" b="0"/>
                  <wp:docPr id="1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C25994" w:rsidRPr="009C5E28" w:rsidRDefault="00C25994" w:rsidP="002A1275">
            <w:pPr>
              <w:spacing w:after="0"/>
              <w:jc w:val="center"/>
            </w:pPr>
            <w:r>
              <w:rPr>
                <w:noProof/>
                <w:lang w:eastAsia="de-DE"/>
              </w:rPr>
              <w:drawing>
                <wp:inline distT="0" distB="0" distL="0" distR="0">
                  <wp:extent cx="511175" cy="511175"/>
                  <wp:effectExtent l="0" t="0" r="0" b="0"/>
                  <wp:docPr id="11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C25994" w:rsidRPr="009C5E28" w:rsidRDefault="00C25994" w:rsidP="002A1275">
            <w:pPr>
              <w:spacing w:after="0"/>
              <w:jc w:val="center"/>
            </w:pPr>
            <w:r>
              <w:rPr>
                <w:noProof/>
                <w:lang w:eastAsia="de-DE"/>
              </w:rPr>
              <w:drawing>
                <wp:inline distT="0" distB="0" distL="0" distR="0">
                  <wp:extent cx="504190" cy="504190"/>
                  <wp:effectExtent l="19050" t="0" r="0" b="0"/>
                  <wp:docPr id="11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r>
    </w:tbl>
    <w:p w:rsidR="00C25994" w:rsidRDefault="00C25994" w:rsidP="00C25994"/>
    <w:p w:rsidR="00C25994" w:rsidRDefault="00C25994" w:rsidP="00C25994">
      <w:r>
        <w:t>Materialien</w:t>
      </w:r>
      <w:r>
        <w:tab/>
      </w:r>
      <w:r>
        <w:tab/>
        <w:t>Petrischale, Spatel</w:t>
      </w:r>
    </w:p>
    <w:p w:rsidR="00C25994" w:rsidRDefault="00C25994" w:rsidP="00C25994">
      <w:r>
        <w:t>Chemikalien</w:t>
      </w:r>
      <w:r>
        <w:tab/>
      </w:r>
      <w:r>
        <w:tab/>
        <w:t>Wasser, gelbes Blutlaugensalz, Eisen(III)-nitrat</w:t>
      </w:r>
    </w:p>
    <w:p w:rsidR="00C25994" w:rsidRDefault="00C25994" w:rsidP="00C25994">
      <w:pPr>
        <w:ind w:left="2124" w:hanging="2124"/>
      </w:pPr>
      <w:r>
        <w:t>Durchführung</w:t>
      </w:r>
      <w:r>
        <w:tab/>
        <w:t>Die Petrischale wird mit 50 mL Wasser gefüllt. Dann wird am Rand einer Seite eine Spatelspitze gelbes Blutlaugensalz und auf der gegenüberliegenden Seite eine Spatelspitze Eisen(III)-nitrat in die Petrischale gegeben.</w:t>
      </w:r>
    </w:p>
    <w:p w:rsidR="00C25994" w:rsidRDefault="00C25994" w:rsidP="00C25994">
      <w:pPr>
        <w:ind w:left="2124" w:hanging="2124"/>
      </w:pPr>
      <w:r>
        <w:rPr>
          <w:noProof/>
          <w:lang w:eastAsia="de-DE"/>
        </w:rPr>
        <w:drawing>
          <wp:anchor distT="0" distB="0" distL="114300" distR="114300" simplePos="0" relativeHeight="251661312" behindDoc="0" locked="0" layoutInCell="1" allowOverlap="1">
            <wp:simplePos x="0" y="0"/>
            <wp:positionH relativeFrom="column">
              <wp:posOffset>3673475</wp:posOffset>
            </wp:positionH>
            <wp:positionV relativeFrom="paragraph">
              <wp:posOffset>-167005</wp:posOffset>
            </wp:positionV>
            <wp:extent cx="2135505" cy="2156460"/>
            <wp:effectExtent l="19050" t="0" r="0" b="0"/>
            <wp:wrapSquare wrapText="bothSides"/>
            <wp:docPr id="118" name="Bild 147" descr="C:\Users\Axel\AppData\Local\Microsoft\Windows\INetCache\Content.Word\Ber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Axel\AppData\Local\Microsoft\Windows\INetCache\Content.Word\Berlin.png"/>
                    <pic:cNvPicPr>
                      <a:picLocks noChangeAspect="1" noChangeArrowheads="1"/>
                    </pic:cNvPicPr>
                  </pic:nvPicPr>
                  <pic:blipFill>
                    <a:blip r:embed="rId16" cstate="print"/>
                    <a:srcRect/>
                    <a:stretch>
                      <a:fillRect/>
                    </a:stretch>
                  </pic:blipFill>
                  <pic:spPr bwMode="auto">
                    <a:xfrm>
                      <a:off x="0" y="0"/>
                      <a:ext cx="2135505" cy="2156460"/>
                    </a:xfrm>
                    <a:prstGeom prst="rect">
                      <a:avLst/>
                    </a:prstGeom>
                    <a:noFill/>
                    <a:ln w="9525">
                      <a:noFill/>
                      <a:miter lim="800000"/>
                      <a:headEnd/>
                      <a:tailEnd/>
                    </a:ln>
                  </pic:spPr>
                </pic:pic>
              </a:graphicData>
            </a:graphic>
          </wp:anchor>
        </w:drawing>
      </w:r>
      <w:r>
        <w:t>Beobachtung:</w:t>
      </w:r>
      <w:r>
        <w:tab/>
        <w:t>Um die Eisen(III)-nitratkristalle färbt sich das Wasser gelb. Nach kurzer Zeit bildet sich in der Mitte des Reagenzglases eine blaue Linie.</w:t>
      </w:r>
    </w:p>
    <w:p w:rsidR="00C25994" w:rsidRDefault="00CC1904" w:rsidP="00C25994">
      <w:pPr>
        <w:ind w:left="2124" w:hanging="2124"/>
      </w:pPr>
      <w:r w:rsidRPr="00CC1904">
        <w:rPr>
          <w:rFonts w:eastAsiaTheme="minorEastAsia"/>
          <w:noProof/>
          <w:lang w:eastAsia="de-DE"/>
        </w:rPr>
        <w:pict>
          <v:shape id="_x0000_s1040" type="#_x0000_t202" style="position:absolute;left:0;text-align:left;margin-left:281.65pt;margin-top:74pt;width:181.3pt;height:20.15pt;z-index:251662336;mso-width-percent:400;mso-width-percent:400;mso-width-relative:margin;mso-height-relative:margin" strokecolor="white [3212]" strokeweight="0">
            <v:fill opacity="0"/>
            <v:textbox>
              <w:txbxContent>
                <w:p w:rsidR="00C25994" w:rsidRPr="00EC080E" w:rsidRDefault="00C25994" w:rsidP="00C25994">
                  <w:pPr>
                    <w:rPr>
                      <w:sz w:val="18"/>
                      <w:szCs w:val="18"/>
                    </w:rPr>
                  </w:pPr>
                  <w:r w:rsidRPr="00EC080E">
                    <w:rPr>
                      <w:sz w:val="18"/>
                      <w:szCs w:val="18"/>
                    </w:rPr>
                    <w:t>Abb.4 - Berliner Blau</w:t>
                  </w:r>
                </w:p>
              </w:txbxContent>
            </v:textbox>
            <w10:wrap type="square"/>
          </v:shape>
        </w:pict>
      </w:r>
      <w:r w:rsidR="00C25994">
        <w:t>Deutung:</w:t>
      </w:r>
      <w:r w:rsidR="00C25994">
        <w:tab/>
        <w:t>Die Salze (Eisen(III)-nitrat und gelebes Blutlaugensalz) gehen in Lösung und diffundieren in der Petrischale. Beim Aufeinandertreffen der Teilchen in der Mitte findet eine Komplexbildungsreaktion statt, bei der sich das so genannte „Berliner Blau“ bildet.</w:t>
      </w:r>
    </w:p>
    <w:p w:rsidR="00C25994" w:rsidRDefault="00C25994" w:rsidP="00C25994">
      <w:pPr>
        <w:ind w:left="2124" w:hanging="2124"/>
      </w:pPr>
      <w:r>
        <w:lastRenderedPageBreak/>
        <w:t>Entsorgung:</w:t>
      </w:r>
      <w:r>
        <w:tab/>
        <w:t>Die Lösung werden im Sammelbehälter für schwermetallhaltige Abfälle entsorgt.</w:t>
      </w:r>
    </w:p>
    <w:p w:rsidR="00C25994" w:rsidRDefault="00C25994" w:rsidP="00C25994">
      <w:pPr>
        <w:ind w:left="2124" w:hanging="2124"/>
        <w:rPr>
          <w:rFonts w:eastAsiaTheme="minorEastAsia"/>
        </w:rPr>
      </w:pPr>
      <w:r>
        <w:rPr>
          <w:rFonts w:eastAsiaTheme="minorEastAsia"/>
        </w:rPr>
        <w:t>Literatur:</w:t>
      </w:r>
      <w:r>
        <w:rPr>
          <w:rFonts w:eastAsiaTheme="minorEastAsia"/>
        </w:rPr>
        <w:tab/>
        <w:t>[1] AC-F-Skript Uni Göttingen, Sommersemester 2013, S. 62</w:t>
      </w:r>
    </w:p>
    <w:p w:rsidR="00C25994" w:rsidRDefault="00C25994" w:rsidP="00C25994">
      <w:pPr>
        <w:ind w:left="2124" w:hanging="2124"/>
        <w:rPr>
          <w:rFonts w:eastAsiaTheme="minorEastAsia"/>
        </w:rPr>
      </w:pPr>
    </w:p>
    <w:p w:rsidR="00C25994" w:rsidRDefault="00CC1904" w:rsidP="00C25994">
      <w:pPr>
        <w:ind w:left="2124" w:hanging="2124"/>
        <w:rPr>
          <w:rFonts w:eastAsiaTheme="minorEastAsia"/>
        </w:rPr>
      </w:pPr>
      <w:r w:rsidRPr="00CC1904">
        <w:pict>
          <v:shape id="_x0000_s1041" type="#_x0000_t202" style="width:462.45pt;height:131.55pt;mso-position-horizontal-relative:char;mso-position-vertical-relative:line;mso-width-relative:margin;mso-height-relative:margin" fillcolor="white [3201]" strokecolor="#c0504d [3205]" strokeweight="1pt">
            <v:stroke dashstyle="dash"/>
            <v:shadow color="#868686"/>
            <v:textbox style="mso-next-textbox:#_x0000_s1041">
              <w:txbxContent>
                <w:p w:rsidR="00C25994" w:rsidRPr="00883F21" w:rsidRDefault="00C25994" w:rsidP="00C25994">
                  <w:pPr>
                    <w:rPr>
                      <w:color w:val="auto"/>
                    </w:rPr>
                  </w:pPr>
                  <w:r w:rsidRPr="00883F21">
                    <w:rPr>
                      <w:color w:val="auto"/>
                    </w:rPr>
                    <w:t>Dieser Versuch kann auch sehr gut als Lehrerversuch auf einem Overheadprojektor durchgeführt werden.</w:t>
                  </w:r>
                </w:p>
                <w:p w:rsidR="00C25994" w:rsidRPr="00883F21" w:rsidRDefault="00C25994" w:rsidP="00C25994">
                  <w:pPr>
                    <w:rPr>
                      <w:color w:val="auto"/>
                    </w:rPr>
                  </w:pPr>
                  <w:r w:rsidRPr="00883F21">
                    <w:rPr>
                      <w:color w:val="auto"/>
                    </w:rPr>
                    <w:t>Weiterhin eignet das Experiment sich sehr gut, um die Diffusion von Salzen in Lösungen zu zeigen. Als Nebeneffekt kann eine Nachweisreaktion für Eisen(III)-ionen erlernt werden (in den vorgesehenen Klassenstufen ist die Bezeichnung Eisensalzlösung eher zutreffend).</w:t>
                  </w:r>
                </w:p>
              </w:txbxContent>
            </v:textbox>
            <w10:wrap type="none"/>
            <w10:anchorlock/>
          </v:shape>
        </w:pict>
      </w:r>
    </w:p>
    <w:p w:rsidR="00C31120" w:rsidRPr="00C25994" w:rsidRDefault="00C31120" w:rsidP="00C25994"/>
    <w:sectPr w:rsidR="00C31120" w:rsidRPr="00C25994" w:rsidSect="00C3112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15A" w:rsidRDefault="00D8515A" w:rsidP="00BF4135">
      <w:pPr>
        <w:spacing w:after="0" w:line="240" w:lineRule="auto"/>
      </w:pPr>
      <w:r>
        <w:separator/>
      </w:r>
    </w:p>
  </w:endnote>
  <w:endnote w:type="continuationSeparator" w:id="1">
    <w:p w:rsidR="00D8515A" w:rsidRDefault="00D8515A" w:rsidP="00BF4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F8" w:rsidRDefault="00527AF8">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F8" w:rsidRDefault="00527AF8">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F8" w:rsidRDefault="00527AF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15A" w:rsidRDefault="00D8515A" w:rsidP="00BF4135">
      <w:pPr>
        <w:spacing w:after="0" w:line="240" w:lineRule="auto"/>
      </w:pPr>
      <w:r>
        <w:separator/>
      </w:r>
    </w:p>
  </w:footnote>
  <w:footnote w:type="continuationSeparator" w:id="1">
    <w:p w:rsidR="00D8515A" w:rsidRDefault="00D8515A" w:rsidP="00BF41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F8" w:rsidRDefault="00527AF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35" w:rsidRDefault="00527AF8">
    <w:pPr>
      <w:pStyle w:val="Kopfzeile"/>
    </w:pPr>
    <w:r>
      <w:t>V3 - Bildung von Berliner Blau</w:t>
    </w:r>
    <w:r w:rsidR="00BF4135">
      <w:ptab w:relativeTo="margin" w:alignment="center" w:leader="none"/>
    </w:r>
    <w:r w:rsidR="00BF4135">
      <w:ptab w:relativeTo="margin" w:alignment="right" w:leader="none"/>
    </w:r>
    <w:fldSimple w:instr=" PAGE   \* MERGEFORMAT ">
      <w:r>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F8" w:rsidRDefault="00527AF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F4135"/>
    <w:rsid w:val="000D2CDD"/>
    <w:rsid w:val="004B04EB"/>
    <w:rsid w:val="00527AF8"/>
    <w:rsid w:val="009A7400"/>
    <w:rsid w:val="00B871EC"/>
    <w:rsid w:val="00BF4135"/>
    <w:rsid w:val="00C25994"/>
    <w:rsid w:val="00C31120"/>
    <w:rsid w:val="00CC1904"/>
    <w:rsid w:val="00D8515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413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F413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F413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F413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F413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F413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F413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F413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F413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F413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413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F413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F413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F413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F413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F413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F413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F413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F413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F413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BF41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4135"/>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BF41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F4135"/>
    <w:rPr>
      <w:rFonts w:ascii="Cambria" w:hAnsi="Cambria"/>
      <w:color w:val="1D1B11" w:themeColor="background2" w:themeShade="1A"/>
    </w:rPr>
  </w:style>
  <w:style w:type="paragraph" w:styleId="Fuzeile">
    <w:name w:val="footer"/>
    <w:basedOn w:val="Standard"/>
    <w:link w:val="FuzeileZchn"/>
    <w:uiPriority w:val="99"/>
    <w:semiHidden/>
    <w:unhideWhenUsed/>
    <w:rsid w:val="00BF413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F4135"/>
    <w:rPr>
      <w:rFonts w:ascii="Cambria" w:hAnsi="Cambria"/>
      <w:color w:val="1D1B11" w:themeColor="background2" w:themeShade="1A"/>
    </w:rPr>
  </w:style>
  <w:style w:type="character" w:styleId="Hyperlink">
    <w:name w:val="Hyperlink"/>
    <w:basedOn w:val="Absatz-Standardschriftart"/>
    <w:uiPriority w:val="99"/>
    <w:unhideWhenUsed/>
    <w:rsid w:val="004B04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964</Characters>
  <Application>Microsoft Office Word</Application>
  <DocSecurity>0</DocSecurity>
  <Lines>8</Lines>
  <Paragraphs>2</Paragraphs>
  <ScaleCrop>false</ScaleCrop>
  <Company>Frost-RL</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3</cp:revision>
  <dcterms:created xsi:type="dcterms:W3CDTF">2013-08-12T19:44:00Z</dcterms:created>
  <dcterms:modified xsi:type="dcterms:W3CDTF">2013-08-12T20:04:00Z</dcterms:modified>
</cp:coreProperties>
</file>