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4FB" w:rsidRDefault="00EB74FB" w:rsidP="00EB74FB">
      <w:pPr>
        <w:pStyle w:val="berschrift1"/>
        <w:numPr>
          <w:ilvl w:val="0"/>
          <w:numId w:val="0"/>
        </w:numPr>
        <w:ind w:left="431" w:hanging="431"/>
      </w:pPr>
      <w:r>
        <w:t>V 2 – Phosphorsäure aus der Streichholzschachtel</w:t>
      </w:r>
      <w:bookmarkStart w:id="0" w:name="_GoBack"/>
      <w:bookmarkEnd w:id="0"/>
    </w:p>
    <w:p w:rsidR="00EB74FB" w:rsidRPr="00316FAD" w:rsidRDefault="00EB74FB" w:rsidP="00EB74FB"/>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B74FB" w:rsidRPr="00CD03BD" w:rsidTr="002E146F">
        <w:tc>
          <w:tcPr>
            <w:tcW w:w="9322" w:type="dxa"/>
            <w:gridSpan w:val="9"/>
            <w:shd w:val="clear" w:color="auto" w:fill="4F81BD"/>
            <w:vAlign w:val="center"/>
          </w:tcPr>
          <w:p w:rsidR="00EB74FB" w:rsidRPr="00CD03BD" w:rsidRDefault="00EB74FB" w:rsidP="002E146F">
            <w:pPr>
              <w:spacing w:after="0"/>
              <w:jc w:val="center"/>
              <w:rPr>
                <w:b/>
                <w:bCs/>
              </w:rPr>
            </w:pPr>
            <w:r w:rsidRPr="00CD03BD">
              <w:rPr>
                <w:b/>
                <w:bCs/>
              </w:rPr>
              <w:t>Gefahrenstoffe</w:t>
            </w:r>
          </w:p>
        </w:tc>
      </w:tr>
      <w:tr w:rsidR="00EB74FB" w:rsidRPr="00CD03BD" w:rsidTr="002E14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B74FB" w:rsidRPr="006C34A1" w:rsidRDefault="00EB74FB" w:rsidP="002E146F">
            <w:pPr>
              <w:jc w:val="center"/>
              <w:rPr>
                <w:bCs/>
                <w:sz w:val="20"/>
                <w:szCs w:val="20"/>
              </w:rPr>
            </w:pPr>
            <w:r>
              <w:rPr>
                <w:bCs/>
                <w:sz w:val="20"/>
                <w:szCs w:val="20"/>
              </w:rPr>
              <w:t>Streichholzschachtel</w:t>
            </w:r>
          </w:p>
        </w:tc>
        <w:tc>
          <w:tcPr>
            <w:tcW w:w="3177" w:type="dxa"/>
            <w:gridSpan w:val="3"/>
            <w:tcBorders>
              <w:top w:val="single" w:sz="8" w:space="0" w:color="4F81BD"/>
              <w:bottom w:val="single" w:sz="8" w:space="0" w:color="4F81BD"/>
            </w:tcBorders>
            <w:shd w:val="clear" w:color="auto" w:fill="auto"/>
            <w:vAlign w:val="center"/>
          </w:tcPr>
          <w:p w:rsidR="00EB74FB" w:rsidRPr="006C34A1" w:rsidRDefault="00EB74FB" w:rsidP="002E146F">
            <w:pPr>
              <w:jc w:val="center"/>
              <w:rPr>
                <w:sz w:val="20"/>
                <w:szCs w:val="20"/>
              </w:rPr>
            </w:pPr>
            <w:r w:rsidRPr="006C34A1">
              <w:rPr>
                <w:sz w:val="20"/>
                <w:szCs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B74FB" w:rsidRPr="006C34A1" w:rsidRDefault="00EB74FB" w:rsidP="002E146F">
            <w:pPr>
              <w:jc w:val="center"/>
              <w:rPr>
                <w:sz w:val="20"/>
                <w:szCs w:val="20"/>
              </w:rPr>
            </w:pPr>
            <w:r w:rsidRPr="006C34A1">
              <w:rPr>
                <w:sz w:val="20"/>
                <w:szCs w:val="20"/>
              </w:rPr>
              <w:t>P: -</w:t>
            </w:r>
          </w:p>
        </w:tc>
      </w:tr>
      <w:tr w:rsidR="00EB74FB" w:rsidRPr="00CD03BD" w:rsidTr="002E146F">
        <w:trPr>
          <w:trHeight w:val="434"/>
        </w:trPr>
        <w:tc>
          <w:tcPr>
            <w:tcW w:w="3027" w:type="dxa"/>
            <w:gridSpan w:val="3"/>
            <w:shd w:val="clear" w:color="auto" w:fill="auto"/>
            <w:vAlign w:val="center"/>
          </w:tcPr>
          <w:p w:rsidR="00EB74FB" w:rsidRPr="006C34A1" w:rsidRDefault="00EB74FB" w:rsidP="002E146F">
            <w:pPr>
              <w:jc w:val="center"/>
              <w:rPr>
                <w:bCs/>
                <w:sz w:val="20"/>
                <w:szCs w:val="20"/>
              </w:rPr>
            </w:pPr>
            <w:r>
              <w:rPr>
                <w:bCs/>
                <w:sz w:val="20"/>
                <w:szCs w:val="20"/>
              </w:rPr>
              <w:t>Wasser</w:t>
            </w:r>
          </w:p>
        </w:tc>
        <w:tc>
          <w:tcPr>
            <w:tcW w:w="3177" w:type="dxa"/>
            <w:gridSpan w:val="3"/>
            <w:shd w:val="clear" w:color="auto" w:fill="auto"/>
            <w:vAlign w:val="center"/>
          </w:tcPr>
          <w:p w:rsidR="00EB74FB" w:rsidRPr="006C34A1" w:rsidRDefault="00EB74FB" w:rsidP="002E146F">
            <w:pPr>
              <w:jc w:val="center"/>
              <w:rPr>
                <w:sz w:val="20"/>
                <w:szCs w:val="20"/>
              </w:rPr>
            </w:pPr>
            <w:r w:rsidRPr="006C34A1">
              <w:rPr>
                <w:sz w:val="20"/>
                <w:szCs w:val="20"/>
              </w:rPr>
              <w:t>H: -</w:t>
            </w:r>
          </w:p>
        </w:tc>
        <w:tc>
          <w:tcPr>
            <w:tcW w:w="3118" w:type="dxa"/>
            <w:gridSpan w:val="3"/>
            <w:shd w:val="clear" w:color="auto" w:fill="auto"/>
            <w:vAlign w:val="center"/>
          </w:tcPr>
          <w:p w:rsidR="00EB74FB" w:rsidRPr="006C34A1" w:rsidRDefault="00EB74FB" w:rsidP="002E146F">
            <w:pPr>
              <w:jc w:val="center"/>
              <w:rPr>
                <w:sz w:val="20"/>
                <w:szCs w:val="20"/>
              </w:rPr>
            </w:pPr>
            <w:r w:rsidRPr="006C34A1">
              <w:rPr>
                <w:sz w:val="20"/>
                <w:szCs w:val="20"/>
              </w:rPr>
              <w:t>P: -</w:t>
            </w:r>
          </w:p>
        </w:tc>
      </w:tr>
      <w:tr w:rsidR="00EB74FB" w:rsidRPr="00CD03BD" w:rsidTr="002E146F">
        <w:tc>
          <w:tcPr>
            <w:tcW w:w="1009" w:type="dxa"/>
            <w:tcBorders>
              <w:top w:val="single" w:sz="8" w:space="0" w:color="4F81BD"/>
              <w:left w:val="single" w:sz="8" w:space="0" w:color="4F81BD"/>
              <w:bottom w:val="single" w:sz="8" w:space="0" w:color="4F81BD"/>
            </w:tcBorders>
            <w:shd w:val="clear" w:color="auto" w:fill="auto"/>
            <w:vAlign w:val="center"/>
          </w:tcPr>
          <w:p w:rsidR="00EB74FB" w:rsidRPr="00CD03BD" w:rsidRDefault="00EB74FB" w:rsidP="002E146F">
            <w:pPr>
              <w:spacing w:after="0"/>
              <w:jc w:val="center"/>
              <w:rPr>
                <w:b/>
                <w:bCs/>
              </w:rPr>
            </w:pPr>
            <w:r>
              <w:rPr>
                <w:b/>
                <w:bCs/>
                <w:noProof/>
                <w:lang w:eastAsia="de-DE"/>
              </w:rPr>
              <w:drawing>
                <wp:inline distT="0" distB="0" distL="0" distR="0" wp14:anchorId="3F34FE32" wp14:editId="6F0888A5">
                  <wp:extent cx="474345" cy="474345"/>
                  <wp:effectExtent l="0" t="0" r="0" b="0"/>
                  <wp:docPr id="48" name="Grafik 48"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Ätze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4345" cy="47434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B74FB" w:rsidRPr="00CD03BD" w:rsidRDefault="00EB74FB" w:rsidP="002E146F">
            <w:pPr>
              <w:spacing w:after="0"/>
              <w:jc w:val="center"/>
            </w:pPr>
            <w:r>
              <w:rPr>
                <w:noProof/>
                <w:lang w:eastAsia="de-DE"/>
              </w:rPr>
              <w:drawing>
                <wp:inline distT="0" distB="0" distL="0" distR="0" wp14:anchorId="356F22E5" wp14:editId="039A75E6">
                  <wp:extent cx="500380" cy="50038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B74FB" w:rsidRPr="00CD03BD" w:rsidRDefault="00EB74FB" w:rsidP="002E146F">
            <w:pPr>
              <w:spacing w:after="0"/>
              <w:jc w:val="center"/>
            </w:pPr>
            <w:r>
              <w:rPr>
                <w:noProof/>
                <w:lang w:eastAsia="de-DE"/>
              </w:rPr>
              <w:drawing>
                <wp:inline distT="0" distB="0" distL="0" distR="0" wp14:anchorId="57A9AFB3" wp14:editId="23C65A3E">
                  <wp:extent cx="500380" cy="50038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B74FB" w:rsidRPr="00CD03BD" w:rsidRDefault="00EB74FB" w:rsidP="002E146F">
            <w:pPr>
              <w:spacing w:after="0"/>
              <w:jc w:val="center"/>
            </w:pPr>
            <w:r>
              <w:rPr>
                <w:noProof/>
                <w:lang w:eastAsia="de-DE"/>
              </w:rPr>
              <w:drawing>
                <wp:inline distT="0" distB="0" distL="0" distR="0" wp14:anchorId="0B80CBCD" wp14:editId="671731B1">
                  <wp:extent cx="500380" cy="500380"/>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B74FB" w:rsidRPr="00CD03BD" w:rsidRDefault="00EB74FB" w:rsidP="002E146F">
            <w:pPr>
              <w:spacing w:after="0"/>
              <w:jc w:val="center"/>
            </w:pPr>
            <w:r>
              <w:rPr>
                <w:noProof/>
                <w:lang w:eastAsia="de-DE"/>
              </w:rPr>
              <w:drawing>
                <wp:inline distT="0" distB="0" distL="0" distR="0" wp14:anchorId="7FDA324E" wp14:editId="70C8E6D3">
                  <wp:extent cx="500380" cy="50038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B74FB" w:rsidRPr="00CD03BD" w:rsidRDefault="00EB74FB" w:rsidP="002E146F">
            <w:pPr>
              <w:spacing w:after="0"/>
              <w:jc w:val="center"/>
            </w:pPr>
            <w:r>
              <w:rPr>
                <w:noProof/>
                <w:lang w:eastAsia="de-DE"/>
              </w:rPr>
              <w:drawing>
                <wp:inline distT="0" distB="0" distL="0" distR="0" wp14:anchorId="664C1CAB" wp14:editId="10F4BB3E">
                  <wp:extent cx="500380" cy="50038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B74FB" w:rsidRPr="00CD03BD" w:rsidRDefault="00EB74FB" w:rsidP="002E146F">
            <w:pPr>
              <w:spacing w:after="0"/>
              <w:jc w:val="center"/>
            </w:pPr>
            <w:r>
              <w:rPr>
                <w:noProof/>
                <w:lang w:eastAsia="de-DE"/>
              </w:rPr>
              <w:drawing>
                <wp:inline distT="0" distB="0" distL="0" distR="0" wp14:anchorId="17BFFB50" wp14:editId="3B18F1F9">
                  <wp:extent cx="500380" cy="500380"/>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B74FB" w:rsidRPr="00CD03BD" w:rsidRDefault="00EB74FB" w:rsidP="002E146F">
            <w:pPr>
              <w:spacing w:after="0"/>
              <w:jc w:val="center"/>
            </w:pPr>
            <w:r>
              <w:rPr>
                <w:noProof/>
                <w:lang w:eastAsia="de-DE"/>
              </w:rPr>
              <w:drawing>
                <wp:inline distT="0" distB="0" distL="0" distR="0" wp14:anchorId="4707A2FE" wp14:editId="0B04B355">
                  <wp:extent cx="474345" cy="474345"/>
                  <wp:effectExtent l="0" t="0" r="0" b="0"/>
                  <wp:docPr id="41" name="Grafik 41"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izen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4345" cy="47434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B74FB" w:rsidRPr="00CD03BD" w:rsidRDefault="00EB74FB" w:rsidP="002E146F">
            <w:pPr>
              <w:spacing w:after="0"/>
              <w:jc w:val="center"/>
            </w:pPr>
            <w:r>
              <w:rPr>
                <w:noProof/>
                <w:lang w:eastAsia="de-DE"/>
              </w:rPr>
              <w:drawing>
                <wp:inline distT="0" distB="0" distL="0" distR="0" wp14:anchorId="4E607B2D" wp14:editId="66624922">
                  <wp:extent cx="500380" cy="50038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r>
    </w:tbl>
    <w:p w:rsidR="00EB74FB" w:rsidRDefault="00EB74FB" w:rsidP="00EB74FB"/>
    <w:p w:rsidR="00EB74FB" w:rsidRDefault="00EB74FB" w:rsidP="00EB74FB">
      <w:pPr>
        <w:tabs>
          <w:tab w:val="left" w:pos="1701"/>
          <w:tab w:val="left" w:pos="1985"/>
        </w:tabs>
        <w:ind w:left="1980" w:hanging="1980"/>
      </w:pPr>
      <w:r>
        <w:t xml:space="preserve">Materialien: </w:t>
      </w:r>
      <w:r>
        <w:tab/>
      </w:r>
      <w:r>
        <w:tab/>
        <w:t>Porzellanschale, 250 mL Becherglas, Bunsenbrenner, Skalpell oder scha</w:t>
      </w:r>
      <w:r>
        <w:t>r</w:t>
      </w:r>
      <w:r>
        <w:t>fes Me</w:t>
      </w:r>
      <w:r>
        <w:t>s</w:t>
      </w:r>
      <w:r>
        <w:t>ser</w:t>
      </w:r>
    </w:p>
    <w:p w:rsidR="00EB74FB" w:rsidRPr="00ED07C2" w:rsidRDefault="00EB74FB" w:rsidP="00EB74FB">
      <w:pPr>
        <w:tabs>
          <w:tab w:val="left" w:pos="1701"/>
          <w:tab w:val="left" w:pos="1985"/>
        </w:tabs>
        <w:ind w:left="1980" w:hanging="1980"/>
      </w:pPr>
      <w:r>
        <w:t>Chemikalien:</w:t>
      </w:r>
      <w:r>
        <w:tab/>
      </w:r>
      <w:r>
        <w:tab/>
        <w:t>Streichholzschachteln, dem. Wasser, Universalindikatorpapier</w:t>
      </w:r>
    </w:p>
    <w:p w:rsidR="00EB74FB" w:rsidRDefault="00EB74FB" w:rsidP="00EB74FB">
      <w:pPr>
        <w:tabs>
          <w:tab w:val="left" w:pos="1701"/>
          <w:tab w:val="left" w:pos="1985"/>
        </w:tabs>
        <w:ind w:left="1980" w:hanging="1980"/>
      </w:pPr>
      <w:r>
        <w:t xml:space="preserve">Durchführung 1: </w:t>
      </w:r>
      <w:r>
        <w:tab/>
      </w:r>
      <w:r>
        <w:tab/>
      </w:r>
      <w:r>
        <w:tab/>
        <w:t>Mit dem Skalpell wird die Reibefläche der Streichholzschachteln abg</w:t>
      </w:r>
      <w:r>
        <w:t>e</w:t>
      </w:r>
      <w:r>
        <w:t>kratzt, ohne dass die Pappe entfernt wird. Die dabei erhaltene Substanz wird in der Porzellanschale aufgefangen. Diese wird dann entzündet und direkt im Anschluss vom umgedrehten Becherglas abgedeckt. Gegebene</w:t>
      </w:r>
      <w:r>
        <w:t>n</w:t>
      </w:r>
      <w:r>
        <w:t>falls muss die Probe erneut entzündet werden.</w:t>
      </w:r>
    </w:p>
    <w:p w:rsidR="00EB74FB" w:rsidRDefault="00EB74FB" w:rsidP="00EB74FB">
      <w:pPr>
        <w:tabs>
          <w:tab w:val="left" w:pos="1701"/>
          <w:tab w:val="left" w:pos="1985"/>
        </w:tabs>
        <w:ind w:left="1980" w:hanging="1980"/>
      </w:pPr>
      <w:r>
        <w:t>Beobachtung 1:</w:t>
      </w:r>
      <w:r>
        <w:tab/>
      </w:r>
      <w:r>
        <w:tab/>
      </w:r>
      <w:r>
        <w:tab/>
        <w:t>Aus der Probe entwickelt sich ein weißer Rauch, welcher sich am Boden des Becherglases absetzt.</w:t>
      </w:r>
    </w:p>
    <w:p w:rsidR="00EB74FB" w:rsidRDefault="00EB74FB" w:rsidP="00EB74FB">
      <w:pPr>
        <w:tabs>
          <w:tab w:val="left" w:pos="1701"/>
          <w:tab w:val="left" w:pos="1985"/>
        </w:tabs>
        <w:ind w:left="1980" w:hanging="1980"/>
      </w:pPr>
      <w:r>
        <w:t>Durchführung 2:</w:t>
      </w:r>
      <w:r>
        <w:tab/>
      </w:r>
      <w:r>
        <w:tab/>
        <w:t>Nachdem die Reaktion abgelaufen ist, wird der Niederschlag in wenig Wasser gelöst und mit Un</w:t>
      </w:r>
      <w:r>
        <w:t>i</w:t>
      </w:r>
      <w:r>
        <w:t>versalindikatorpapier getestet.</w:t>
      </w:r>
    </w:p>
    <w:p w:rsidR="00EB74FB" w:rsidRDefault="00EB74FB" w:rsidP="00EB74FB">
      <w:pPr>
        <w:tabs>
          <w:tab w:val="left" w:pos="1701"/>
          <w:tab w:val="left" w:pos="1985"/>
        </w:tabs>
        <w:ind w:left="1980" w:hanging="1980"/>
      </w:pPr>
      <w:r>
        <w:t>Beobachtung 2:</w:t>
      </w:r>
      <w:r>
        <w:tab/>
      </w:r>
      <w:r>
        <w:tab/>
        <w:t>Die Lösung zeigt einen pH-Wert von fünf an.</w:t>
      </w:r>
    </w:p>
    <w:p w:rsidR="00EB74FB" w:rsidRDefault="00EB74FB" w:rsidP="00EB74FB">
      <w:pPr>
        <w:tabs>
          <w:tab w:val="left" w:pos="1701"/>
          <w:tab w:val="left" w:pos="1985"/>
        </w:tabs>
        <w:ind w:left="1980" w:hanging="1980"/>
      </w:pPr>
      <w:r>
        <w:t>Deutung:</w:t>
      </w:r>
      <w:r>
        <w:tab/>
      </w:r>
      <w:r>
        <w:tab/>
      </w:r>
      <w:r>
        <w:tab/>
        <w:t>Die Reibefläche einer Streichholzschachtel enthält roten Phosphor. Dieser entzündet sich durch die Reibung mit dem Streichholz. Im vorliegenden Experiment lässt er sich auch direkt mit dem Bunsenbrenner verbrennen. Dabei reagiert er mit dem Sauerstoff der Luft zu Phosphor(V)-oxid. Im Wasser gelöst reagiert das Oxid zu Phosphorsäure. Diese ist allerdings nur schwach konzentriert, sodass sich ein pH von 5 einstellt.</w:t>
      </w:r>
    </w:p>
    <w:p w:rsidR="00EB74FB" w:rsidRDefault="00EB74FB" w:rsidP="00EB74FB">
      <w:pPr>
        <w:tabs>
          <w:tab w:val="left" w:pos="1701"/>
          <w:tab w:val="left" w:pos="1985"/>
        </w:tabs>
        <w:ind w:left="1980" w:hanging="1980"/>
      </w:pPr>
      <w:r>
        <w:t>Entsorgung:</w:t>
      </w:r>
      <w:r>
        <w:tab/>
      </w:r>
      <w:r>
        <w:tab/>
        <w:t>Die Entsorgung der Substanzen erfolgt über das Abwasser.</w:t>
      </w:r>
    </w:p>
    <w:p w:rsidR="00EB74FB" w:rsidRDefault="00EB74FB" w:rsidP="00EB74FB">
      <w:pPr>
        <w:tabs>
          <w:tab w:val="left" w:pos="1701"/>
          <w:tab w:val="left" w:pos="1985"/>
        </w:tabs>
        <w:ind w:left="1980" w:hanging="1980"/>
      </w:pPr>
      <w:r>
        <w:lastRenderedPageBreak/>
        <w:t>Literatur:</w:t>
      </w:r>
      <w:r>
        <w:tab/>
      </w:r>
      <w:r>
        <w:tab/>
        <w:t xml:space="preserve">D. Wiechoczek, </w:t>
      </w:r>
      <w:r w:rsidRPr="001E5A5D">
        <w:t>http://www.chemieunterricht.de/dc2/haus/v130.htm</w:t>
      </w:r>
      <w:r>
        <w:t>, 05</w:t>
      </w:r>
      <w:r>
        <w:rPr>
          <w:color w:val="auto"/>
        </w:rPr>
        <w:t>.02.2012 (Z</w:t>
      </w:r>
      <w:r>
        <w:rPr>
          <w:color w:val="auto"/>
        </w:rPr>
        <w:t>u</w:t>
      </w:r>
      <w:r>
        <w:rPr>
          <w:color w:val="auto"/>
        </w:rPr>
        <w:t>letzt abgerufen am 30.07.2013 um 16:56Uhr).</w:t>
      </w:r>
    </w:p>
    <w:p w:rsidR="00EB74FB" w:rsidRDefault="00EB74FB" w:rsidP="00EB74FB">
      <w:pPr>
        <w:tabs>
          <w:tab w:val="left" w:pos="1701"/>
          <w:tab w:val="left" w:pos="1985"/>
        </w:tabs>
        <w:ind w:left="1980" w:hanging="1980"/>
      </w:pPr>
      <w:r>
        <w:rPr>
          <w:noProof/>
          <w:lang w:eastAsia="de-DE"/>
        </w:rPr>
        <mc:AlternateContent>
          <mc:Choice Requires="wps">
            <w:drawing>
              <wp:inline distT="0" distB="0" distL="0" distR="0" wp14:anchorId="639C8ABF" wp14:editId="0783A2B9">
                <wp:extent cx="5873115" cy="1299845"/>
                <wp:effectExtent l="0" t="0" r="13335" b="14605"/>
                <wp:docPr id="7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99845"/>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74FB" w:rsidRPr="00BA220E" w:rsidRDefault="00EB74FB" w:rsidP="00EB74FB">
                            <w:pPr>
                              <w:rPr>
                                <w:color w:val="1F497D"/>
                              </w:rPr>
                            </w:pPr>
                            <w:r>
                              <w:rPr>
                                <w:color w:val="auto"/>
                              </w:rPr>
                              <w:t>Dieser Versuch lässt sich im Unterricht einsetzen, um die Reaktion eines Nichtmetalls mit Sauerstoff zu einem Nichtmetalloxid zu demonstrieren. Alternativ kann dieses Experiment auch mit Kohle statt mit Phosphor durchgeführt werden. In diesem Fall würde sich das Oxid jedoch nicht am Boden des Becherglases absetzen. Zu beachten ist in diesem Versuch, dass Pho</w:t>
                            </w:r>
                            <w:r>
                              <w:rPr>
                                <w:color w:val="auto"/>
                              </w:rPr>
                              <w:t>s</w:t>
                            </w:r>
                            <w:r>
                              <w:rPr>
                                <w:color w:val="auto"/>
                              </w:rPr>
                              <w:t xml:space="preserve">phor(V)-oxid stark ätzend ist und nicht eingeatmet werden darf.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31" o:spid="_x0000_s1026" type="#_x0000_t202" style="width:462.45pt;height:10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" strokecolor="#c0504d" strokeweight="1pt">
                <v:stroke dashstyle="dash"/>
                <v:shadow color="#868686"/>
                <v:textbox>
                  <w:txbxContent>
                    <w:p w:rsidR="00EB74FB" w:rsidRPr="00BA220E" w:rsidRDefault="00EB74FB" w:rsidP="00EB74FB">
                      <w:pPr>
                        <w:rPr>
                          <w:color w:val="1F497D"/>
                        </w:rPr>
                      </w:pPr>
                      <w:r>
                        <w:rPr>
                          <w:color w:val="auto"/>
                        </w:rPr>
                        <w:t>Dieser Versuch lässt sich im Unterricht einsetzen, um die Reaktion eines Nichtmetalls mit Sauerstoff zu einem Nichtmetalloxid zu demonstrieren. Alternativ kann dieses Experiment auch mit Kohle statt mit Phosphor durchgeführt werden. In diesem Fall würde sich das Oxid jedoch nicht am Boden des Becherglases absetzen. Zu beachten ist in diesem Versuch, dass Pho</w:t>
                      </w:r>
                      <w:r>
                        <w:rPr>
                          <w:color w:val="auto"/>
                        </w:rPr>
                        <w:t>s</w:t>
                      </w:r>
                      <w:r>
                        <w:rPr>
                          <w:color w:val="auto"/>
                        </w:rPr>
                        <w:t xml:space="preserve">phor(V)-oxid stark ätzend ist und nicht eingeatmet werden darf. </w:t>
                      </w:r>
                    </w:p>
                  </w:txbxContent>
                </v:textbox>
                <w10:anchorlock/>
              </v:shape>
            </w:pict>
          </mc:Fallback>
        </mc:AlternateContent>
      </w:r>
    </w:p>
    <w:p w:rsidR="00BE6DD9" w:rsidRPr="00EB74FB" w:rsidRDefault="00BE6DD9" w:rsidP="00EB74FB"/>
    <w:sectPr w:rsidR="00BE6DD9" w:rsidRPr="00EB74FB" w:rsidSect="00105256">
      <w:headerReference w:type="default" r:id="rId18"/>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8F4" w:rsidRDefault="005608F4" w:rsidP="009524CC">
      <w:pPr>
        <w:spacing w:after="0"/>
      </w:pPr>
      <w:r>
        <w:separator/>
      </w:r>
    </w:p>
  </w:endnote>
  <w:endnote w:type="continuationSeparator" w:id="0">
    <w:p w:rsidR="005608F4" w:rsidRDefault="005608F4"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8F4" w:rsidRDefault="005608F4" w:rsidP="009524CC">
      <w:pPr>
        <w:spacing w:after="0"/>
      </w:pPr>
      <w:r>
        <w:separator/>
      </w:r>
    </w:p>
  </w:footnote>
  <w:footnote w:type="continuationSeparator" w:id="0">
    <w:p w:rsidR="005608F4" w:rsidRDefault="005608F4"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EB74FB" w:rsidP="00BD7F16">
          <w:pPr>
            <w:pStyle w:val="Kopfzeile"/>
            <w:tabs>
              <w:tab w:val="clear" w:pos="4680"/>
              <w:tab w:val="left" w:pos="0"/>
              <w:tab w:val="center" w:pos="284"/>
              <w:tab w:val="left" w:pos="8789"/>
            </w:tabs>
            <w:rPr>
              <w:sz w:val="20"/>
              <w:szCs w:val="20"/>
            </w:rPr>
          </w:pPr>
          <w:r>
            <w:fldChar w:fldCharType="begin"/>
          </w:r>
          <w:r>
            <w:instrText xml:space="preserve"> STYLEREF  "Überschrift 1"  \* MERGEFORMAT </w:instrText>
          </w:r>
          <w:r>
            <w:fldChar w:fldCharType="separate"/>
          </w:r>
          <w:r w:rsidRPr="00EB74FB">
            <w:rPr>
              <w:b/>
              <w:bCs/>
              <w:noProof/>
            </w:rPr>
            <w:t>V 2 – Phosphorsäure aus der Streichholzschachtel</w:t>
          </w:r>
          <w:r>
            <w:rPr>
              <w:noProof/>
              <w:sz w:val="20"/>
              <w:szCs w:val="20"/>
            </w:rPr>
            <w:fldChar w:fldCharType="end"/>
          </w:r>
        </w:p>
      </w:tc>
      <w:tc>
        <w:tcPr>
          <w:tcW w:w="695" w:type="dxa"/>
          <w:tcBorders>
            <w:bottom w:val="single" w:sz="4" w:space="0" w:color="auto"/>
          </w:tcBorders>
          <w:shd w:val="clear" w:color="auto" w:fill="auto"/>
        </w:tcPr>
        <w:p w:rsidR="00501F12" w:rsidRPr="00BD7F16" w:rsidRDefault="0057204D"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00501F12" w:rsidRPr="00BD7F16">
            <w:rPr>
              <w:sz w:val="20"/>
              <w:szCs w:val="20"/>
            </w:rPr>
            <w:instrText xml:space="preserve"> PAGE   \* MERGEFORMAT </w:instrText>
          </w:r>
          <w:r w:rsidRPr="00BD7F16">
            <w:rPr>
              <w:sz w:val="20"/>
              <w:szCs w:val="20"/>
            </w:rPr>
            <w:fldChar w:fldCharType="separate"/>
          </w:r>
          <w:r w:rsidR="00EB74FB">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autoHyphenation/>
  <w:hyphenationZone w:val="425"/>
  <w:drawingGridHorizontalSpacing w:val="109"/>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145F"/>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3A6B"/>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6DB"/>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08F4"/>
    <w:rsid w:val="00561000"/>
    <w:rsid w:val="005626FE"/>
    <w:rsid w:val="00562D49"/>
    <w:rsid w:val="0056433A"/>
    <w:rsid w:val="00566C6B"/>
    <w:rsid w:val="0056722B"/>
    <w:rsid w:val="00571FDB"/>
    <w:rsid w:val="0057204D"/>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6DC3"/>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4FB"/>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472AA-F35A-4F97-9EDA-B1DA21347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1400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Thomas Waitz</cp:lastModifiedBy>
  <cp:revision>2</cp:revision>
  <cp:lastPrinted>2012-06-21T19:47:00Z</cp:lastPrinted>
  <dcterms:created xsi:type="dcterms:W3CDTF">2013-08-14T17:57:00Z</dcterms:created>
  <dcterms:modified xsi:type="dcterms:W3CDTF">2013-08-14T17:57:00Z</dcterms:modified>
</cp:coreProperties>
</file>