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50" w:rsidRPr="00A307C9" w:rsidRDefault="00D94E50" w:rsidP="00D94E50">
      <w:pPr>
        <w:pStyle w:val="berschrift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0" w:name="_Toc363375218"/>
      <w:r w:rsidRPr="00A307C9">
        <w:rPr>
          <w:color w:val="000000" w:themeColor="text1"/>
        </w:rPr>
        <w:t>V 4 – Abkühlen von Gegenständen mit flüssigem Stickstoff</w:t>
      </w:r>
      <w:bookmarkEnd w:id="0"/>
    </w:p>
    <w:p w:rsidR="00D94E50" w:rsidRPr="00A307C9" w:rsidRDefault="00D94E50" w:rsidP="00D94E50">
      <w:pPr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1.2pt;width:462.45pt;height:133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D94E50" w:rsidRDefault="00D94E50" w:rsidP="00D94E50">
                  <w:pPr>
                    <w:rPr>
                      <w:color w:val="auto"/>
                    </w:rPr>
                  </w:pPr>
                  <w:r w:rsidRPr="004D585B">
                    <w:rPr>
                      <w:color w:val="auto"/>
                    </w:rPr>
                    <w:t>Dieser Versuch kann sehr gut die extrem tiefen Temperaturen von flüssigem Stickstoff verdeu</w:t>
                  </w:r>
                  <w:r w:rsidRPr="004D585B">
                    <w:rPr>
                      <w:color w:val="auto"/>
                    </w:rPr>
                    <w:t>t</w:t>
                  </w:r>
                  <w:r w:rsidRPr="004D585B">
                    <w:rPr>
                      <w:color w:val="auto"/>
                    </w:rPr>
                    <w:t>lichen. Er kann gut dazu dienen, die Gefahren bei der Handhabe von flüssigem Stickstoff deu</w:t>
                  </w:r>
                  <w:r w:rsidRPr="004D585B">
                    <w:rPr>
                      <w:color w:val="auto"/>
                    </w:rPr>
                    <w:t>t</w:t>
                  </w:r>
                  <w:r w:rsidRPr="004D585B">
                    <w:rPr>
                      <w:color w:val="auto"/>
                    </w:rPr>
                    <w:t>lich zu machen und die SuS zum verantwortlichen Handeln beim Umgang mit flüssigem Stic</w:t>
                  </w:r>
                  <w:r w:rsidRPr="004D585B">
                    <w:rPr>
                      <w:color w:val="auto"/>
                    </w:rPr>
                    <w:t>k</w:t>
                  </w:r>
                  <w:r w:rsidRPr="004D585B">
                    <w:rPr>
                      <w:color w:val="auto"/>
                    </w:rPr>
                    <w:t>stoff ermahnen.</w:t>
                  </w:r>
                </w:p>
                <w:p w:rsidR="00D94E50" w:rsidRPr="004D585B" w:rsidRDefault="00D94E50" w:rsidP="00D94E5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SuS brauchen kein spezifisches Vorwissen, da der Versuch phänomenologisch betrachtet wird. 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94E50" w:rsidRPr="00A307C9" w:rsidTr="007F33F6">
        <w:tc>
          <w:tcPr>
            <w:tcW w:w="9322" w:type="dxa"/>
            <w:gridSpan w:val="9"/>
            <w:shd w:val="clear" w:color="auto" w:fill="4F81BD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bCs/>
                <w:color w:val="000000" w:themeColor="text1"/>
              </w:rPr>
              <w:t>Gefahrenstoffe</w:t>
            </w:r>
          </w:p>
        </w:tc>
      </w:tr>
      <w:tr w:rsidR="00D94E50" w:rsidRPr="00A307C9" w:rsidTr="007F33F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 w:line="276" w:lineRule="auto"/>
              <w:jc w:val="center"/>
              <w:rPr>
                <w:bCs/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  <w:szCs w:val="20"/>
              </w:rPr>
              <w:t>Stickstoff (flüssig)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pStyle w:val="Beschriftung"/>
              <w:spacing w:after="0"/>
              <w:jc w:val="center"/>
              <w:rPr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</w:rPr>
              <w:t xml:space="preserve">H: </w:t>
            </w:r>
            <w:hyperlink r:id="rId5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332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6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312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7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302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8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pStyle w:val="Beschriftung"/>
              <w:spacing w:after="0"/>
              <w:jc w:val="center"/>
              <w:rPr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</w:rPr>
              <w:t xml:space="preserve">P: </w:t>
            </w:r>
            <w:hyperlink r:id="rId9" w:anchor="P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273</w:t>
              </w:r>
            </w:hyperlink>
            <w:r w:rsidRPr="00A307C9">
              <w:rPr>
                <w:color w:val="000000" w:themeColor="text1"/>
                <w:sz w:val="20"/>
              </w:rPr>
              <w:t>-​</w:t>
            </w:r>
            <w:hyperlink r:id="rId10" w:anchor="P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302+352</w:t>
              </w:r>
            </w:hyperlink>
          </w:p>
        </w:tc>
      </w:tr>
      <w:tr w:rsidR="00D94E50" w:rsidRPr="00A307C9" w:rsidTr="007F33F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1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4E50" w:rsidRPr="00A307C9" w:rsidRDefault="00D94E5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Materialien: 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Dewar-Behälter, Tiegelzange, Lederhandschuh, Gummischlauch, Apfel, Blume, Zitrone, Hammer</w:t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Chemikalien: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flüssiger Stickstoff</w:t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Durchführung: 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Nacheinander werden ein Gummischlauch, ein Stück Apfel, eine Blume, ein Papiertuch und ein Stück Zitrone in flüssigen Stickstoff getaucht. Anschli</w:t>
      </w:r>
      <w:r w:rsidRPr="00A307C9">
        <w:rPr>
          <w:color w:val="000000" w:themeColor="text1"/>
        </w:rPr>
        <w:t>e</w:t>
      </w:r>
      <w:r w:rsidRPr="00A307C9">
        <w:rPr>
          <w:color w:val="000000" w:themeColor="text1"/>
        </w:rPr>
        <w:t xml:space="preserve">ßend werden sie 1 – </w:t>
      </w:r>
      <w:proofErr w:type="gramStart"/>
      <w:r w:rsidRPr="00A307C9">
        <w:rPr>
          <w:color w:val="000000" w:themeColor="text1"/>
        </w:rPr>
        <w:t>2 mal</w:t>
      </w:r>
      <w:proofErr w:type="gramEnd"/>
      <w:r w:rsidRPr="00A307C9">
        <w:rPr>
          <w:color w:val="000000" w:themeColor="text1"/>
        </w:rPr>
        <w:t xml:space="preserve"> mit dem Hammer geschlagen.</w:t>
      </w:r>
    </w:p>
    <w:p w:rsidR="00D94E50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Beobachtung: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Die in den flüssigen Stickstoff getauchten Dinge </w:t>
      </w:r>
      <w:r>
        <w:rPr>
          <w:color w:val="000000" w:themeColor="text1"/>
        </w:rPr>
        <w:t>werden hart</w:t>
      </w:r>
      <w:r w:rsidRPr="00A307C9">
        <w:rPr>
          <w:color w:val="000000" w:themeColor="text1"/>
        </w:rPr>
        <w:t xml:space="preserve">. Bei einem Schlag mit dem Hammer zerspringen sie in mehrere Teile. </w:t>
      </w:r>
    </w:p>
    <w:p w:rsidR="00D94E50" w:rsidRDefault="00D94E50">
      <w:pPr>
        <w:spacing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66040</wp:posOffset>
            </wp:positionV>
            <wp:extent cx="1490345" cy="1731010"/>
            <wp:effectExtent l="19050" t="0" r="0" b="0"/>
            <wp:wrapTight wrapText="bothSides">
              <wp:wrapPolygon edited="0">
                <wp:start x="-276" y="0"/>
                <wp:lineTo x="-276" y="21394"/>
                <wp:lineTo x="21536" y="21394"/>
                <wp:lineTo x="21536" y="0"/>
                <wp:lineTo x="-276" y="0"/>
              </wp:wrapPolygon>
            </wp:wrapTight>
            <wp:docPr id="121" name="Bild 27" descr="C:\Dokumente und Einstellungen\Paula\Desktop\Eigene Dateien\uni\master\2. Semester\SVP\fotos 7&amp;8\20130730_1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kumente und Einstellungen\Paula\Desktop\Eigene Dateien\uni\master\2. Semester\SVP\fotos 7&amp;8\20130730_1026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9516" t="36736" r="39833" b="3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7C9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266065</wp:posOffset>
            </wp:positionV>
            <wp:extent cx="2216785" cy="1447800"/>
            <wp:effectExtent l="0" t="381000" r="0" b="361950"/>
            <wp:wrapTight wrapText="bothSides">
              <wp:wrapPolygon edited="0">
                <wp:start x="34" y="21936"/>
                <wp:lineTo x="21380" y="21936"/>
                <wp:lineTo x="21380" y="52"/>
                <wp:lineTo x="34" y="52"/>
                <wp:lineTo x="34" y="21936"/>
              </wp:wrapPolygon>
            </wp:wrapTight>
            <wp:docPr id="122" name="Bild 25" descr="C:\Dokumente und Einstellungen\Paula\Desktop\Eigene Dateien\uni\master\2. Semester\SVP\fotos 7&amp;8\20130730_10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kumente und Einstellungen\Paula\Desktop\Eigene Dateien\uni\master\2. Semester\SVP\fotos 7&amp;8\20130730_1023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864" t="7887" r="6052" b="2251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67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7C9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26670</wp:posOffset>
            </wp:positionV>
            <wp:extent cx="1740535" cy="1664335"/>
            <wp:effectExtent l="19050" t="0" r="0" b="0"/>
            <wp:wrapTight wrapText="bothSides">
              <wp:wrapPolygon edited="0">
                <wp:start x="-236" y="0"/>
                <wp:lineTo x="-236" y="21262"/>
                <wp:lineTo x="21513" y="21262"/>
                <wp:lineTo x="21513" y="0"/>
                <wp:lineTo x="-236" y="0"/>
              </wp:wrapPolygon>
            </wp:wrapTight>
            <wp:docPr id="123" name="Bild 26" descr="C:\Dokumente und Einstellungen\Paula\Desktop\Eigene Dateien\uni\master\2. Semester\SVP\fotos 7&amp;8\20130730_1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kumente und Einstellungen\Paula\Desktop\Eigene Dateien\uni\master\2. Semester\SVP\fotos 7&amp;8\20130730_1026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0517" t="29341" r="39084" b="3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D94E50" w:rsidRPr="00A307C9" w:rsidRDefault="00D94E50" w:rsidP="00D94E50">
      <w:pPr>
        <w:keepNext/>
        <w:tabs>
          <w:tab w:val="left" w:pos="1701"/>
          <w:tab w:val="left" w:pos="1985"/>
        </w:tabs>
        <w:ind w:left="1980" w:hanging="1980"/>
        <w:jc w:val="center"/>
        <w:rPr>
          <w:color w:val="000000" w:themeColor="text1"/>
        </w:rPr>
      </w:pPr>
    </w:p>
    <w:p w:rsidR="00D94E50" w:rsidRPr="00A307C9" w:rsidRDefault="00D94E50" w:rsidP="00D94E50">
      <w:pPr>
        <w:pStyle w:val="Beschriftung"/>
        <w:spacing w:after="0"/>
        <w:ind w:left="2693" w:hanging="2693"/>
        <w:jc w:val="left"/>
        <w:rPr>
          <w:color w:val="000000" w:themeColor="text1"/>
        </w:rPr>
      </w:pPr>
      <w:r w:rsidRPr="00A307C9">
        <w:rPr>
          <w:color w:val="000000" w:themeColor="text1"/>
        </w:rPr>
        <w:t xml:space="preserve">Abb. </w:t>
      </w:r>
      <w:r w:rsidRPr="00A307C9">
        <w:rPr>
          <w:color w:val="000000" w:themeColor="text1"/>
        </w:rPr>
        <w:fldChar w:fldCharType="begin"/>
      </w:r>
      <w:r w:rsidRPr="00A307C9">
        <w:rPr>
          <w:color w:val="000000" w:themeColor="text1"/>
        </w:rPr>
        <w:instrText xml:space="preserve"> SEQ Abb. \* ARABIC </w:instrText>
      </w:r>
      <w:r w:rsidRPr="00A307C9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 w:rsidRPr="00A307C9">
        <w:rPr>
          <w:color w:val="000000" w:themeColor="text1"/>
        </w:rPr>
        <w:fldChar w:fldCharType="end"/>
      </w:r>
      <w:r w:rsidRPr="00A307C9">
        <w:rPr>
          <w:color w:val="000000" w:themeColor="text1"/>
        </w:rPr>
        <w:t xml:space="preserve"> – Blume vorher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Abb. 2- Blume im flüssigen Stickstoff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Abb. 3 – Blume nach dem </w:t>
      </w:r>
    </w:p>
    <w:p w:rsidR="00D94E50" w:rsidRPr="00A307C9" w:rsidRDefault="00D94E50" w:rsidP="00D94E50">
      <w:pPr>
        <w:pStyle w:val="Beschriftung"/>
        <w:ind w:left="6234" w:firstLine="138"/>
        <w:jc w:val="left"/>
        <w:rPr>
          <w:color w:val="000000" w:themeColor="text1"/>
        </w:rPr>
      </w:pPr>
      <w:r>
        <w:rPr>
          <w:color w:val="000000" w:themeColor="text1"/>
        </w:rPr>
        <w:t>Ei</w:t>
      </w:r>
      <w:r w:rsidRPr="00A307C9">
        <w:rPr>
          <w:color w:val="000000" w:themeColor="text1"/>
        </w:rPr>
        <w:t>ntauchen in flüssigem Stickstoff</w:t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color w:val="000000" w:themeColor="text1"/>
        </w:rPr>
        <w:t>Deutung: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Die in den flüssigen Stickstoff getauchten Gegenstände gefrieren und ve</w:t>
      </w:r>
      <w:r w:rsidRPr="00A307C9">
        <w:rPr>
          <w:color w:val="000000" w:themeColor="text1"/>
        </w:rPr>
        <w:t>r</w:t>
      </w:r>
      <w:r w:rsidRPr="00A307C9">
        <w:rPr>
          <w:color w:val="000000" w:themeColor="text1"/>
        </w:rPr>
        <w:t>lieren ihre biegsamen Eigenschaften. Sie werden spröde und zerbrechen bei einem Schlag mit dem Hammer schnell.</w:t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rFonts w:eastAsiaTheme="minorEastAsia"/>
          <w:color w:val="000000" w:themeColor="text1"/>
        </w:rPr>
        <w:t xml:space="preserve">Entsorgung: </w:t>
      </w:r>
      <w:r w:rsidRPr="00A307C9">
        <w:rPr>
          <w:rFonts w:eastAsiaTheme="minorEastAsia"/>
          <w:color w:val="000000" w:themeColor="text1"/>
        </w:rPr>
        <w:tab/>
      </w:r>
      <w:r w:rsidRPr="00A307C9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 xml:space="preserve">Die zerschlagenen </w:t>
      </w:r>
      <w:r w:rsidRPr="00A307C9">
        <w:rPr>
          <w:rFonts w:eastAsiaTheme="minorEastAsia"/>
          <w:color w:val="000000" w:themeColor="text1"/>
        </w:rPr>
        <w:t xml:space="preserve">Gegenstände </w:t>
      </w:r>
      <w:r>
        <w:rPr>
          <w:rFonts w:eastAsiaTheme="minorEastAsia"/>
          <w:color w:val="000000" w:themeColor="text1"/>
        </w:rPr>
        <w:t xml:space="preserve">werden </w:t>
      </w:r>
      <w:r w:rsidRPr="00A307C9">
        <w:rPr>
          <w:rFonts w:eastAsiaTheme="minorEastAsia"/>
          <w:color w:val="000000" w:themeColor="text1"/>
        </w:rPr>
        <w:t>in den Hausmüll</w:t>
      </w:r>
      <w:r>
        <w:rPr>
          <w:rFonts w:eastAsiaTheme="minorEastAsia"/>
          <w:color w:val="000000" w:themeColor="text1"/>
        </w:rPr>
        <w:t xml:space="preserve"> gegeben. Der</w:t>
      </w:r>
      <w:r w:rsidRPr="00A307C9">
        <w:rPr>
          <w:rFonts w:eastAsiaTheme="minorEastAsia"/>
          <w:color w:val="000000" w:themeColor="text1"/>
        </w:rPr>
        <w:t xml:space="preserve"> Stickstoff verdamp</w:t>
      </w:r>
      <w:r>
        <w:rPr>
          <w:rFonts w:eastAsiaTheme="minorEastAsia"/>
          <w:color w:val="000000" w:themeColor="text1"/>
        </w:rPr>
        <w:t>ft</w:t>
      </w:r>
      <w:r w:rsidRPr="00A307C9">
        <w:rPr>
          <w:rFonts w:eastAsiaTheme="minorEastAsia"/>
          <w:color w:val="000000" w:themeColor="text1"/>
        </w:rPr>
        <w:t>.</w:t>
      </w:r>
    </w:p>
    <w:p w:rsidR="00D94E50" w:rsidRPr="00A307C9" w:rsidRDefault="00D94E50" w:rsidP="00D94E5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Literatur: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r>
        <w:rPr>
          <w:color w:val="000000" w:themeColor="text1"/>
        </w:rPr>
        <w:t xml:space="preserve">M.T. </w:t>
      </w:r>
      <w:proofErr w:type="spellStart"/>
      <w:r>
        <w:rPr>
          <w:color w:val="000000" w:themeColor="text1"/>
        </w:rPr>
        <w:t>Pöllinger</w:t>
      </w:r>
      <w:proofErr w:type="spellEnd"/>
      <w:r>
        <w:rPr>
          <w:color w:val="000000" w:themeColor="text1"/>
        </w:rPr>
        <w:t xml:space="preserve">, S. </w:t>
      </w:r>
      <w:proofErr w:type="spellStart"/>
      <w:r>
        <w:rPr>
          <w:color w:val="000000" w:themeColor="text1"/>
        </w:rPr>
        <w:t>Maierhofer</w:t>
      </w:r>
      <w:proofErr w:type="spellEnd"/>
      <w:r>
        <w:rPr>
          <w:color w:val="000000" w:themeColor="text1"/>
        </w:rPr>
        <w:t xml:space="preserve">, </w:t>
      </w:r>
      <w:hyperlink r:id="rId23" w:history="1">
        <w:r w:rsidRPr="00C1670D">
          <w:rPr>
            <w:rStyle w:val="Hyperlink"/>
          </w:rPr>
          <w:t>http://www.uni-regensburg.de/chemie-pharmazie/anorganische-chemie-pfitzner/medien/data-demo/2007-2008/mpsmfln2.pdf</w:t>
        </w:r>
      </w:hyperlink>
      <w:r>
        <w:rPr>
          <w:color w:val="000000" w:themeColor="text1"/>
        </w:rPr>
        <w:t>, 16.11.2007 (Zuletzt abgerufen am 4. August 2013, 9:43 Uhr).</w:t>
      </w:r>
    </w:p>
    <w:p w:rsidR="002D1F3A" w:rsidRDefault="002D1F3A"/>
    <w:sectPr w:rsidR="002D1F3A" w:rsidSect="002D1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E50"/>
    <w:rsid w:val="002D1F3A"/>
    <w:rsid w:val="00CA0CEB"/>
    <w:rsid w:val="00D9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E5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4E5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4E5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4E5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4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4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4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4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4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4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4E5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E5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4E5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4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4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4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4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4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4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94E5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4E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E5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uni-regensburg.de/chemie-pharmazie/anorganische-chemie-pfitzner/medien/data-demo/2007-2008/mpsmfln2.pdf" TargetMode="Externa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2013-08-10T13:55:00Z</dcterms:created>
  <dcterms:modified xsi:type="dcterms:W3CDTF">2013-08-10T13:56:00Z</dcterms:modified>
</cp:coreProperties>
</file>