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71" w:rsidRPr="00A307C9" w:rsidRDefault="00F50C71" w:rsidP="00F50C71">
      <w:pPr>
        <w:pStyle w:val="berschrift2"/>
        <w:numPr>
          <w:ilvl w:val="0"/>
          <w:numId w:val="0"/>
        </w:numPr>
        <w:ind w:left="576" w:hanging="576"/>
        <w:rPr>
          <w:color w:val="000000" w:themeColor="text1"/>
        </w:rPr>
      </w:pPr>
      <w:bookmarkStart w:id="0" w:name="_Toc363375220"/>
      <w:r>
        <w:rPr>
          <w:noProof/>
          <w:color w:val="000000" w:themeColor="text1"/>
          <w:lang w:eastAsia="de-DE"/>
        </w:rPr>
        <w:pict>
          <v:shapetype id="_x0000_t202" coordsize="21600,21600" o:spt="202" path="m,l,21600r21600,l21600,xe">
            <v:stroke joinstyle="miter"/>
            <v:path gradientshapeok="t" o:connecttype="rect"/>
          </v:shapetype>
          <v:shape id="_x0000_s1027" type="#_x0000_t202" style="position:absolute;left:0;text-align:left;margin-left:-2.7pt;margin-top:41.25pt;width:462.45pt;height:94.35pt;z-index:251660288;mso-width-relative:margin;mso-height-relative:margin" fillcolor="white [3201]" strokecolor="#4bacc6 [3208]" strokeweight="1pt">
            <v:stroke dashstyle="dash"/>
            <v:shadow color="#868686"/>
            <v:textbox style="mso-next-textbox:#_x0000_s1027">
              <w:txbxContent>
                <w:p w:rsidR="00F50C71" w:rsidRDefault="00F50C71" w:rsidP="00F50C71">
                  <w:pPr>
                    <w:rPr>
                      <w:color w:val="auto"/>
                    </w:rPr>
                  </w:pPr>
                  <w:r w:rsidRPr="00D30231">
                    <w:rPr>
                      <w:color w:val="auto"/>
                    </w:rPr>
                    <w:t>Wie im Kerncurriculum gefordert, kann dieser Versuch dazu dienen, einen Nachweis für Stic</w:t>
                  </w:r>
                  <w:r w:rsidRPr="00D30231">
                    <w:rPr>
                      <w:color w:val="auto"/>
                    </w:rPr>
                    <w:t>k</w:t>
                  </w:r>
                  <w:r w:rsidRPr="00D30231">
                    <w:rPr>
                      <w:color w:val="auto"/>
                    </w:rPr>
                    <w:t xml:space="preserve">stoff zu erbringen. </w:t>
                  </w:r>
                </w:p>
                <w:p w:rsidR="00F50C71" w:rsidRPr="00D30231" w:rsidRDefault="00F50C71" w:rsidP="00F50C71">
                  <w:pPr>
                    <w:rPr>
                      <w:color w:val="auto"/>
                    </w:rPr>
                  </w:pPr>
                  <w:r>
                    <w:rPr>
                      <w:color w:val="auto"/>
                    </w:rPr>
                    <w:t>Die SuS sollten für diesen Versuch wissen, dass bestimmte Stoffe bestimmte Eigenschaften h</w:t>
                  </w:r>
                  <w:r>
                    <w:rPr>
                      <w:color w:val="auto"/>
                    </w:rPr>
                    <w:t>a</w:t>
                  </w:r>
                  <w:r>
                    <w:rPr>
                      <w:color w:val="auto"/>
                    </w:rPr>
                    <w:t xml:space="preserve">ben und dass man diese Eigenschaften nutzen kann, um die Stoffe Nachzuweisen. </w:t>
                  </w:r>
                </w:p>
              </w:txbxContent>
            </v:textbox>
            <w10:wrap type="square"/>
          </v:shape>
        </w:pict>
      </w:r>
      <w:r w:rsidRPr="00A307C9">
        <w:rPr>
          <w:color w:val="000000" w:themeColor="text1"/>
        </w:rPr>
        <w:t>V 5 – Nachweis von Stickstoff</w:t>
      </w:r>
      <w:bookmarkEnd w:id="0"/>
    </w:p>
    <w:p w:rsidR="00F50C71" w:rsidRPr="00A307C9" w:rsidRDefault="00F50C71" w:rsidP="00F50C71">
      <w:pPr>
        <w:rPr>
          <w:color w:val="000000" w:themeColor="text1"/>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50C71" w:rsidRPr="00A307C9" w:rsidTr="007F33F6">
        <w:tc>
          <w:tcPr>
            <w:tcW w:w="9322" w:type="dxa"/>
            <w:gridSpan w:val="9"/>
            <w:shd w:val="clear" w:color="auto" w:fill="4F81BD"/>
            <w:vAlign w:val="center"/>
          </w:tcPr>
          <w:p w:rsidR="00F50C71" w:rsidRPr="00A307C9" w:rsidRDefault="00F50C71" w:rsidP="007F33F6">
            <w:pPr>
              <w:spacing w:after="0"/>
              <w:jc w:val="center"/>
              <w:rPr>
                <w:b/>
                <w:bCs/>
                <w:color w:val="000000" w:themeColor="text1"/>
              </w:rPr>
            </w:pPr>
            <w:r w:rsidRPr="00A307C9">
              <w:rPr>
                <w:b/>
                <w:bCs/>
                <w:color w:val="000000" w:themeColor="text1"/>
              </w:rPr>
              <w:t>Gefahrenstoffe</w:t>
            </w:r>
          </w:p>
        </w:tc>
      </w:tr>
      <w:tr w:rsidR="00F50C71" w:rsidRPr="00A307C9" w:rsidTr="007F33F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50C71" w:rsidRPr="00A307C9" w:rsidRDefault="00F50C71" w:rsidP="007F33F6">
            <w:pPr>
              <w:spacing w:after="0" w:line="276" w:lineRule="auto"/>
              <w:jc w:val="center"/>
              <w:rPr>
                <w:bCs/>
                <w:color w:val="000000" w:themeColor="text1"/>
                <w:sz w:val="20"/>
              </w:rPr>
            </w:pPr>
            <w:r w:rsidRPr="00A307C9">
              <w:rPr>
                <w:color w:val="000000" w:themeColor="text1"/>
                <w:sz w:val="20"/>
                <w:szCs w:val="20"/>
              </w:rPr>
              <w:t xml:space="preserve">Stickstoff </w:t>
            </w:r>
          </w:p>
        </w:tc>
        <w:tc>
          <w:tcPr>
            <w:tcW w:w="3177" w:type="dxa"/>
            <w:gridSpan w:val="3"/>
            <w:tcBorders>
              <w:top w:val="single" w:sz="8" w:space="0" w:color="4F81BD"/>
              <w:bottom w:val="single" w:sz="8" w:space="0" w:color="4F81BD"/>
            </w:tcBorders>
            <w:shd w:val="clear" w:color="auto" w:fill="auto"/>
            <w:vAlign w:val="center"/>
          </w:tcPr>
          <w:p w:rsidR="00F50C71" w:rsidRPr="00A307C9" w:rsidRDefault="00F50C71" w:rsidP="007F33F6">
            <w:pPr>
              <w:pStyle w:val="Beschriftung"/>
              <w:spacing w:after="0"/>
              <w:jc w:val="center"/>
              <w:rPr>
                <w:color w:val="000000" w:themeColor="text1"/>
                <w:sz w:val="20"/>
              </w:rPr>
            </w:pPr>
            <w:r w:rsidRPr="00A307C9">
              <w:rPr>
                <w:color w:val="000000" w:themeColor="text1"/>
                <w:sz w:val="20"/>
              </w:rPr>
              <w:t xml:space="preserve">H: </w:t>
            </w:r>
            <w:hyperlink r:id="rId5" w:anchor="H-S.C3.A4tze" w:tooltip="H- und P-Sätze" w:history="1">
              <w:r w:rsidRPr="00A307C9">
                <w:rPr>
                  <w:rStyle w:val="Hyperlink"/>
                  <w:color w:val="000000" w:themeColor="text1"/>
                  <w:sz w:val="20"/>
                </w:rPr>
                <w:t>332</w:t>
              </w:r>
            </w:hyperlink>
            <w:r w:rsidRPr="00A307C9">
              <w:rPr>
                <w:color w:val="000000" w:themeColor="text1"/>
                <w:sz w:val="20"/>
              </w:rPr>
              <w:t>-</w:t>
            </w:r>
            <w:hyperlink r:id="rId6" w:anchor="H-S.C3.A4tze" w:tooltip="H- und P-Sätze" w:history="1">
              <w:r w:rsidRPr="00A307C9">
                <w:rPr>
                  <w:rStyle w:val="Hyperlink"/>
                  <w:color w:val="000000" w:themeColor="text1"/>
                  <w:sz w:val="20"/>
                </w:rPr>
                <w:t>312</w:t>
              </w:r>
            </w:hyperlink>
            <w:r w:rsidRPr="00A307C9">
              <w:rPr>
                <w:color w:val="000000" w:themeColor="text1"/>
                <w:sz w:val="20"/>
              </w:rPr>
              <w:t>-</w:t>
            </w:r>
            <w:hyperlink r:id="rId7" w:anchor="H-S.C3.A4tze" w:tooltip="H- und P-Sätze" w:history="1">
              <w:r w:rsidRPr="00A307C9">
                <w:rPr>
                  <w:rStyle w:val="Hyperlink"/>
                  <w:color w:val="000000" w:themeColor="text1"/>
                  <w:sz w:val="20"/>
                </w:rPr>
                <w:t>302</w:t>
              </w:r>
            </w:hyperlink>
            <w:r w:rsidRPr="00A307C9">
              <w:rPr>
                <w:color w:val="000000" w:themeColor="text1"/>
                <w:sz w:val="20"/>
              </w:rPr>
              <w:t>-</w:t>
            </w:r>
            <w:hyperlink r:id="rId8" w:anchor="H-S.C3.A4tze" w:tooltip="H- und P-Sätze" w:history="1">
              <w:r w:rsidRPr="00A307C9">
                <w:rPr>
                  <w:rStyle w:val="Hyperlink"/>
                  <w:color w:val="000000" w:themeColor="text1"/>
                  <w:sz w:val="20"/>
                </w:rPr>
                <w:t>412</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50C71" w:rsidRPr="00A307C9" w:rsidRDefault="00F50C71" w:rsidP="007F33F6">
            <w:pPr>
              <w:pStyle w:val="Beschriftung"/>
              <w:spacing w:after="0"/>
              <w:jc w:val="center"/>
              <w:rPr>
                <w:color w:val="000000" w:themeColor="text1"/>
                <w:sz w:val="20"/>
              </w:rPr>
            </w:pPr>
            <w:r w:rsidRPr="00A307C9">
              <w:rPr>
                <w:color w:val="000000" w:themeColor="text1"/>
                <w:sz w:val="20"/>
              </w:rPr>
              <w:t xml:space="preserve">P: </w:t>
            </w:r>
            <w:hyperlink r:id="rId9" w:anchor="P-S.C3.A4tze" w:tooltip="H- und P-Sätze" w:history="1">
              <w:r w:rsidRPr="00A307C9">
                <w:rPr>
                  <w:rStyle w:val="Hyperlink"/>
                  <w:color w:val="000000" w:themeColor="text1"/>
                  <w:sz w:val="20"/>
                </w:rPr>
                <w:t>273</w:t>
              </w:r>
            </w:hyperlink>
            <w:r w:rsidRPr="00A307C9">
              <w:rPr>
                <w:color w:val="000000" w:themeColor="text1"/>
                <w:sz w:val="20"/>
              </w:rPr>
              <w:t>-​</w:t>
            </w:r>
            <w:hyperlink r:id="rId10" w:anchor="P-S.C3.A4tze" w:tooltip="H- und P-Sätze" w:history="1">
              <w:r w:rsidRPr="00A307C9">
                <w:rPr>
                  <w:rStyle w:val="Hyperlink"/>
                  <w:color w:val="000000" w:themeColor="text1"/>
                  <w:sz w:val="20"/>
                </w:rPr>
                <w:t>302+352</w:t>
              </w:r>
            </w:hyperlink>
          </w:p>
        </w:tc>
      </w:tr>
      <w:tr w:rsidR="00F50C71" w:rsidRPr="00A307C9" w:rsidTr="007F33F6">
        <w:tc>
          <w:tcPr>
            <w:tcW w:w="1009" w:type="dxa"/>
            <w:tcBorders>
              <w:top w:val="single" w:sz="8" w:space="0" w:color="4F81BD"/>
              <w:left w:val="single" w:sz="8" w:space="0" w:color="4F81BD"/>
              <w:bottom w:val="single" w:sz="8" w:space="0" w:color="4F81BD"/>
            </w:tcBorders>
            <w:shd w:val="clear" w:color="auto" w:fill="auto"/>
            <w:vAlign w:val="center"/>
          </w:tcPr>
          <w:p w:rsidR="00F50C71" w:rsidRPr="00A307C9" w:rsidRDefault="00F50C71" w:rsidP="007F33F6">
            <w:pPr>
              <w:spacing w:after="0"/>
              <w:jc w:val="center"/>
              <w:rPr>
                <w:b/>
                <w:bCs/>
                <w:color w:val="000000" w:themeColor="text1"/>
              </w:rPr>
            </w:pPr>
            <w:r w:rsidRPr="00A307C9">
              <w:rPr>
                <w:b/>
                <w:noProof/>
                <w:color w:val="000000" w:themeColor="text1"/>
                <w:lang w:eastAsia="de-DE"/>
              </w:rPr>
              <w:drawing>
                <wp:inline distT="0" distB="0" distL="0" distR="0">
                  <wp:extent cx="504190" cy="504190"/>
                  <wp:effectExtent l="19050" t="0" r="0" b="0"/>
                  <wp:docPr id="12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0C71" w:rsidRPr="00A307C9" w:rsidRDefault="00F50C71"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19050" t="0" r="0" b="0"/>
                  <wp:docPr id="12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0C71" w:rsidRPr="00A307C9" w:rsidRDefault="00F50C71"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19050" t="0" r="0" b="0"/>
                  <wp:docPr id="12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0C71" w:rsidRPr="00A307C9" w:rsidRDefault="00F50C71"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0" t="0" r="0" b="0"/>
                  <wp:docPr id="12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50C71" w:rsidRPr="00A307C9" w:rsidRDefault="00F50C71"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19050" t="0" r="0" b="0"/>
                  <wp:docPr id="12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50C71" w:rsidRPr="00A307C9" w:rsidRDefault="00F50C71"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0" t="0" r="0" b="0"/>
                  <wp:docPr id="12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50C71" w:rsidRPr="00A307C9" w:rsidRDefault="00F50C71"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0" t="0" r="0" b="0"/>
                  <wp:docPr id="13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0C71" w:rsidRPr="00A307C9" w:rsidRDefault="00F50C71" w:rsidP="007F33F6">
            <w:pPr>
              <w:spacing w:after="0"/>
              <w:jc w:val="center"/>
              <w:rPr>
                <w:color w:val="000000" w:themeColor="text1"/>
              </w:rPr>
            </w:pPr>
            <w:r w:rsidRPr="00A307C9">
              <w:rPr>
                <w:noProof/>
                <w:color w:val="000000" w:themeColor="text1"/>
                <w:lang w:eastAsia="de-DE"/>
              </w:rPr>
              <w:drawing>
                <wp:inline distT="0" distB="0" distL="0" distR="0">
                  <wp:extent cx="511175" cy="511175"/>
                  <wp:effectExtent l="19050" t="0" r="3175" b="0"/>
                  <wp:docPr id="13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50C71" w:rsidRPr="00A307C9" w:rsidRDefault="00F50C71" w:rsidP="007F33F6">
            <w:pPr>
              <w:spacing w:after="0"/>
              <w:jc w:val="center"/>
              <w:rPr>
                <w:color w:val="000000" w:themeColor="text1"/>
              </w:rPr>
            </w:pPr>
            <w:r w:rsidRPr="00A307C9">
              <w:rPr>
                <w:noProof/>
                <w:color w:val="000000" w:themeColor="text1"/>
                <w:lang w:eastAsia="de-DE"/>
              </w:rPr>
              <w:drawing>
                <wp:inline distT="0" distB="0" distL="0" distR="0">
                  <wp:extent cx="504190" cy="504190"/>
                  <wp:effectExtent l="0" t="0" r="0" b="0"/>
                  <wp:docPr id="13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50C71" w:rsidRPr="00A307C9" w:rsidRDefault="00F50C71" w:rsidP="00F50C71">
      <w:pPr>
        <w:tabs>
          <w:tab w:val="left" w:pos="1701"/>
          <w:tab w:val="left" w:pos="1985"/>
        </w:tabs>
        <w:ind w:left="1980" w:hanging="1980"/>
        <w:rPr>
          <w:color w:val="000000" w:themeColor="text1"/>
        </w:rPr>
      </w:pPr>
      <w:r>
        <w:rPr>
          <w:noProof/>
          <w:color w:val="000000" w:themeColor="text1"/>
          <w:lang w:eastAsia="de-DE"/>
        </w:rPr>
        <w:drawing>
          <wp:anchor distT="0" distB="0" distL="114300" distR="114300" simplePos="0" relativeHeight="251661312" behindDoc="1" locked="0" layoutInCell="1" allowOverlap="1">
            <wp:simplePos x="0" y="0"/>
            <wp:positionH relativeFrom="column">
              <wp:posOffset>17145</wp:posOffset>
            </wp:positionH>
            <wp:positionV relativeFrom="paragraph">
              <wp:posOffset>14605</wp:posOffset>
            </wp:positionV>
            <wp:extent cx="1518285" cy="3053715"/>
            <wp:effectExtent l="19050" t="0" r="5715" b="0"/>
            <wp:wrapTight wrapText="bothSides">
              <wp:wrapPolygon edited="0">
                <wp:start x="-271" y="0"/>
                <wp:lineTo x="-271" y="21425"/>
                <wp:lineTo x="21681" y="21425"/>
                <wp:lineTo x="21681" y="0"/>
                <wp:lineTo x="-271" y="0"/>
              </wp:wrapPolygon>
            </wp:wrapTight>
            <wp:docPr id="133" name="Bild 36" descr="C:\Dokumente und Einstellungen\Paula\Desktop\Eigene Dateien\uni\master\2. Semester\SVP\fotos 7&amp;8\20130729_142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kumente und Einstellungen\Paula\Desktop\Eigene Dateien\uni\master\2. Semester\SVP\fotos 7&amp;8\20130729_142206.jpg"/>
                    <pic:cNvPicPr>
                      <a:picLocks noChangeAspect="1" noChangeArrowheads="1"/>
                    </pic:cNvPicPr>
                  </pic:nvPicPr>
                  <pic:blipFill>
                    <a:blip r:embed="rId20" cstate="print"/>
                    <a:srcRect l="42796" r="26206" b="16567"/>
                    <a:stretch>
                      <a:fillRect/>
                    </a:stretch>
                  </pic:blipFill>
                  <pic:spPr bwMode="auto">
                    <a:xfrm>
                      <a:off x="0" y="0"/>
                      <a:ext cx="1518285" cy="3053715"/>
                    </a:xfrm>
                    <a:prstGeom prst="rect">
                      <a:avLst/>
                    </a:prstGeom>
                    <a:noFill/>
                    <a:ln w="9525">
                      <a:noFill/>
                      <a:miter lim="800000"/>
                      <a:headEnd/>
                      <a:tailEnd/>
                    </a:ln>
                  </pic:spPr>
                </pic:pic>
              </a:graphicData>
            </a:graphic>
          </wp:anchor>
        </w:drawing>
      </w:r>
      <w:r w:rsidRPr="00A307C9">
        <w:rPr>
          <w:color w:val="000000" w:themeColor="text1"/>
        </w:rPr>
        <w:t xml:space="preserve">Materialien: </w:t>
      </w:r>
      <w:r w:rsidRPr="00A307C9">
        <w:rPr>
          <w:color w:val="000000" w:themeColor="text1"/>
        </w:rPr>
        <w:tab/>
      </w:r>
      <w:r w:rsidRPr="00A307C9">
        <w:rPr>
          <w:color w:val="000000" w:themeColor="text1"/>
        </w:rPr>
        <w:tab/>
        <w:t>Standzylinder, Kerze an einem Draht</w:t>
      </w:r>
    </w:p>
    <w:p w:rsidR="00F50C71" w:rsidRPr="00A307C9" w:rsidRDefault="00F50C71" w:rsidP="00F50C71">
      <w:pPr>
        <w:tabs>
          <w:tab w:val="left" w:pos="1701"/>
          <w:tab w:val="left" w:pos="1985"/>
        </w:tabs>
        <w:ind w:left="1980" w:hanging="1980"/>
        <w:rPr>
          <w:color w:val="000000" w:themeColor="text1"/>
        </w:rPr>
      </w:pPr>
      <w:r w:rsidRPr="00A307C9">
        <w:rPr>
          <w:color w:val="000000" w:themeColor="text1"/>
        </w:rPr>
        <w:t>Chemikalien:</w:t>
      </w:r>
      <w:r w:rsidRPr="00A307C9">
        <w:rPr>
          <w:color w:val="000000" w:themeColor="text1"/>
        </w:rPr>
        <w:tab/>
      </w:r>
      <w:r w:rsidRPr="00A307C9">
        <w:rPr>
          <w:color w:val="000000" w:themeColor="text1"/>
        </w:rPr>
        <w:tab/>
        <w:t>Stickstoff</w:t>
      </w:r>
    </w:p>
    <w:p w:rsidR="00F50C71" w:rsidRPr="00A307C9" w:rsidRDefault="00F50C71" w:rsidP="00F50C71">
      <w:pPr>
        <w:tabs>
          <w:tab w:val="left" w:pos="1701"/>
          <w:tab w:val="left" w:pos="1985"/>
        </w:tabs>
        <w:ind w:left="1980" w:hanging="1980"/>
        <w:rPr>
          <w:color w:val="000000" w:themeColor="text1"/>
        </w:rPr>
      </w:pPr>
      <w:r w:rsidRPr="00A307C9">
        <w:rPr>
          <w:color w:val="000000" w:themeColor="text1"/>
        </w:rPr>
        <w:t xml:space="preserve">Durchführung: </w:t>
      </w:r>
      <w:r w:rsidRPr="00A307C9">
        <w:rPr>
          <w:color w:val="000000" w:themeColor="text1"/>
        </w:rPr>
        <w:tab/>
      </w:r>
      <w:r w:rsidRPr="00A307C9">
        <w:rPr>
          <w:color w:val="000000" w:themeColor="text1"/>
        </w:rPr>
        <w:tab/>
        <w:t xml:space="preserve">Ein Standzylinder wird mit Stickstoff </w:t>
      </w:r>
      <w:proofErr w:type="spellStart"/>
      <w:r w:rsidRPr="00A307C9">
        <w:rPr>
          <w:color w:val="000000" w:themeColor="text1"/>
        </w:rPr>
        <w:t>befüllt</w:t>
      </w:r>
      <w:proofErr w:type="spellEnd"/>
      <w:r w:rsidRPr="00A307C9">
        <w:rPr>
          <w:color w:val="000000" w:themeColor="text1"/>
        </w:rPr>
        <w:t>. Anschließend wird eine brennende Kerze in den Zylinder gehalten.</w:t>
      </w:r>
    </w:p>
    <w:p w:rsidR="00F50C71" w:rsidRPr="00A307C9" w:rsidRDefault="00F50C71" w:rsidP="00F50C71">
      <w:pPr>
        <w:tabs>
          <w:tab w:val="left" w:pos="1701"/>
          <w:tab w:val="left" w:pos="1985"/>
        </w:tabs>
        <w:ind w:left="1980" w:hanging="1980"/>
        <w:rPr>
          <w:color w:val="000000" w:themeColor="text1"/>
        </w:rPr>
      </w:pPr>
      <w:r w:rsidRPr="00A307C9">
        <w:rPr>
          <w:color w:val="000000" w:themeColor="text1"/>
        </w:rPr>
        <w:t>Beobachtung:</w:t>
      </w:r>
      <w:r w:rsidRPr="00A307C9">
        <w:rPr>
          <w:color w:val="000000" w:themeColor="text1"/>
        </w:rPr>
        <w:tab/>
      </w:r>
      <w:r w:rsidRPr="00A307C9">
        <w:rPr>
          <w:color w:val="000000" w:themeColor="text1"/>
        </w:rPr>
        <w:tab/>
      </w:r>
      <w:r w:rsidRPr="00A307C9">
        <w:rPr>
          <w:color w:val="000000" w:themeColor="text1"/>
        </w:rPr>
        <w:tab/>
        <w:t>Die Kerze erlischt.</w:t>
      </w:r>
    </w:p>
    <w:p w:rsidR="00F50C71" w:rsidRPr="00A307C9" w:rsidRDefault="00F50C71" w:rsidP="00F50C71">
      <w:pPr>
        <w:tabs>
          <w:tab w:val="left" w:pos="1701"/>
          <w:tab w:val="left" w:pos="1985"/>
        </w:tabs>
        <w:ind w:left="4111" w:hanging="4111"/>
        <w:rPr>
          <w:rFonts w:eastAsiaTheme="minorEastAsia"/>
          <w:color w:val="000000" w:themeColor="text1"/>
        </w:rPr>
      </w:pPr>
      <w:r w:rsidRPr="00A307C9">
        <w:rPr>
          <w:color w:val="000000" w:themeColor="text1"/>
        </w:rPr>
        <w:t>Deutung:</w:t>
      </w:r>
      <w:r w:rsidRPr="00A307C9">
        <w:rPr>
          <w:color w:val="000000" w:themeColor="text1"/>
        </w:rPr>
        <w:tab/>
      </w:r>
      <w:r w:rsidRPr="00A307C9">
        <w:rPr>
          <w:color w:val="000000" w:themeColor="text1"/>
        </w:rPr>
        <w:tab/>
        <w:t>Stickstoff unterstützt die Verbrennung nicht.</w:t>
      </w:r>
    </w:p>
    <w:p w:rsidR="00F50C71" w:rsidRPr="00A307C9" w:rsidRDefault="00F50C71" w:rsidP="00F50C71">
      <w:pPr>
        <w:tabs>
          <w:tab w:val="left" w:pos="1701"/>
          <w:tab w:val="left" w:pos="1985"/>
        </w:tabs>
        <w:ind w:left="1980" w:hanging="1980"/>
        <w:rPr>
          <w:rFonts w:eastAsiaTheme="minorEastAsia"/>
          <w:color w:val="000000" w:themeColor="text1"/>
        </w:rPr>
      </w:pPr>
      <w:r w:rsidRPr="00A307C9">
        <w:rPr>
          <w:rFonts w:eastAsiaTheme="minorEastAsia"/>
          <w:color w:val="000000" w:themeColor="text1"/>
        </w:rPr>
        <w:t xml:space="preserve">Entsorgung: </w:t>
      </w:r>
      <w:r w:rsidRPr="00A307C9">
        <w:rPr>
          <w:rFonts w:eastAsiaTheme="minorEastAsia"/>
          <w:color w:val="000000" w:themeColor="text1"/>
        </w:rPr>
        <w:tab/>
      </w:r>
      <w:r w:rsidRPr="00A307C9">
        <w:rPr>
          <w:rFonts w:eastAsiaTheme="minorEastAsia"/>
          <w:color w:val="000000" w:themeColor="text1"/>
        </w:rPr>
        <w:tab/>
      </w:r>
      <w:r>
        <w:rPr>
          <w:rFonts w:eastAsiaTheme="minorEastAsia"/>
          <w:color w:val="000000" w:themeColor="text1"/>
        </w:rPr>
        <w:t>Der Stickstoff verdampft.</w:t>
      </w:r>
    </w:p>
    <w:p w:rsidR="00F50C71" w:rsidRPr="00A307C9" w:rsidRDefault="00F50C71" w:rsidP="00F50C71">
      <w:pPr>
        <w:tabs>
          <w:tab w:val="left" w:pos="1701"/>
        </w:tabs>
        <w:ind w:left="1980" w:hanging="1980"/>
        <w:rPr>
          <w:rFonts w:asciiTheme="majorHAnsi" w:eastAsiaTheme="majorEastAsia" w:hAnsiTheme="majorHAnsi" w:cstheme="majorBidi"/>
          <w:b/>
          <w:bCs/>
          <w:color w:val="000000" w:themeColor="text1"/>
          <w:sz w:val="28"/>
          <w:szCs w:val="28"/>
        </w:rPr>
      </w:pPr>
      <w:r w:rsidRPr="00A307C9">
        <w:rPr>
          <w:color w:val="000000" w:themeColor="text1"/>
        </w:rPr>
        <w:t>Literatur:</w:t>
      </w:r>
      <w:r w:rsidRPr="00A307C9">
        <w:rPr>
          <w:color w:val="000000" w:themeColor="text1"/>
        </w:rPr>
        <w:tab/>
      </w:r>
      <w:r w:rsidRPr="00A307C9">
        <w:rPr>
          <w:color w:val="000000" w:themeColor="text1"/>
        </w:rPr>
        <w:tab/>
      </w:r>
      <w:proofErr w:type="spellStart"/>
      <w:r>
        <w:rPr>
          <w:color w:val="000000" w:themeColor="text1"/>
        </w:rPr>
        <w:t>Keune</w:t>
      </w:r>
      <w:proofErr w:type="spellEnd"/>
      <w:r>
        <w:rPr>
          <w:color w:val="000000" w:themeColor="text1"/>
        </w:rPr>
        <w:t>, H. und Boeck, H., Chemische Schule</w:t>
      </w:r>
      <w:r>
        <w:rPr>
          <w:color w:val="000000" w:themeColor="text1"/>
        </w:rPr>
        <w:t>x</w:t>
      </w:r>
      <w:r>
        <w:rPr>
          <w:color w:val="000000" w:themeColor="text1"/>
        </w:rPr>
        <w:t xml:space="preserve">perimente- Band 1: Anorganische Chemie, </w:t>
      </w:r>
      <w:proofErr w:type="spellStart"/>
      <w:r>
        <w:rPr>
          <w:color w:val="000000" w:themeColor="text1"/>
        </w:rPr>
        <w:t>Cornelsenverlag</w:t>
      </w:r>
      <w:proofErr w:type="spellEnd"/>
      <w:r>
        <w:rPr>
          <w:color w:val="000000" w:themeColor="text1"/>
        </w:rPr>
        <w:t>, 1. Aufl</w:t>
      </w:r>
      <w:r>
        <w:rPr>
          <w:color w:val="000000" w:themeColor="text1"/>
        </w:rPr>
        <w:t>a</w:t>
      </w:r>
      <w:r>
        <w:rPr>
          <w:color w:val="000000" w:themeColor="text1"/>
        </w:rPr>
        <w:t>ge, 2003, S. 125.</w:t>
      </w:r>
    </w:p>
    <w:p w:rsidR="00F50C71" w:rsidRDefault="00F50C71" w:rsidP="00F50C71">
      <w:pPr>
        <w:tabs>
          <w:tab w:val="left" w:pos="1701"/>
          <w:tab w:val="left" w:pos="1985"/>
        </w:tabs>
        <w:spacing w:after="0"/>
        <w:rPr>
          <w:rFonts w:asciiTheme="majorHAnsi" w:hAnsiTheme="majorHAnsi"/>
          <w:color w:val="000000" w:themeColor="text1"/>
          <w:sz w:val="18"/>
          <w:szCs w:val="18"/>
        </w:rPr>
      </w:pPr>
      <w:r w:rsidRPr="00A307C9">
        <w:rPr>
          <w:rFonts w:asciiTheme="majorHAnsi" w:hAnsiTheme="majorHAnsi"/>
          <w:color w:val="000000" w:themeColor="text1"/>
          <w:sz w:val="18"/>
          <w:szCs w:val="18"/>
        </w:rPr>
        <w:t>Abb. 1 – Die Kerze erlischt im Stickstoff</w:t>
      </w:r>
    </w:p>
    <w:p w:rsidR="00F50C71" w:rsidRDefault="00F50C71" w:rsidP="00F50C71">
      <w:pPr>
        <w:tabs>
          <w:tab w:val="left" w:pos="1701"/>
          <w:tab w:val="left" w:pos="1985"/>
        </w:tabs>
        <w:spacing w:after="0"/>
        <w:rPr>
          <w:rFonts w:asciiTheme="majorHAnsi" w:hAnsiTheme="majorHAnsi"/>
          <w:color w:val="000000" w:themeColor="text1"/>
          <w:sz w:val="18"/>
          <w:szCs w:val="18"/>
        </w:rPr>
      </w:pPr>
    </w:p>
    <w:p w:rsidR="00F50C71" w:rsidRPr="00A307C9" w:rsidRDefault="00F50C71" w:rsidP="00F50C71">
      <w:pPr>
        <w:tabs>
          <w:tab w:val="left" w:pos="1701"/>
          <w:tab w:val="left" w:pos="1985"/>
        </w:tabs>
        <w:spacing w:after="0"/>
        <w:rPr>
          <w:rFonts w:asciiTheme="majorHAnsi" w:hAnsiTheme="majorHAnsi"/>
          <w:color w:val="000000" w:themeColor="text1"/>
          <w:sz w:val="18"/>
          <w:szCs w:val="18"/>
        </w:rPr>
      </w:pPr>
      <w:r w:rsidRPr="00EA5F13">
        <w:rPr>
          <w:color w:val="000000" w:themeColor="text1"/>
        </w:rPr>
      </w:r>
      <w:r w:rsidRPr="00EA5F13">
        <w:rPr>
          <w:color w:val="000000" w:themeColor="text1"/>
        </w:rPr>
        <w:pict>
          <v:shape id="_x0000_s1026" type="#_x0000_t202" style="width:466.5pt;height:114.2pt;mso-position-horizontal-relative:char;mso-position-vertical-relative:line;mso-width-relative:margin;mso-height-relative:margin" fillcolor="white [3201]" strokecolor="#c0504d [3205]" strokeweight="1pt">
            <v:stroke dashstyle="dash"/>
            <v:shadow color="#868686"/>
            <v:textbox style="mso-next-textbox:#_x0000_s1026">
              <w:txbxContent>
                <w:p w:rsidR="00F50C71" w:rsidRPr="00BE222E" w:rsidRDefault="00F50C71" w:rsidP="00F50C71">
                  <w:pPr>
                    <w:tabs>
                      <w:tab w:val="left" w:pos="0"/>
                      <w:tab w:val="left" w:pos="1701"/>
                    </w:tabs>
                    <w:rPr>
                      <w:color w:val="auto"/>
                    </w:rPr>
                  </w:pPr>
                  <w:r w:rsidRPr="00BE222E">
                    <w:rPr>
                      <w:color w:val="auto"/>
                    </w:rPr>
                    <w:t>Alternativ zur Kerze kann auch ein Glimmspan benutzt werden. Da die SuS die feuerlöschende Wirkung auch von Kohlenstoffdioxid kennen, sollte im Anschluss an diesen Versuch einmal Stickstoff durch eine Waschflasche geleitet werden, um ihn von ersterem zu unterscheiden.</w:t>
                  </w:r>
                </w:p>
                <w:p w:rsidR="00F50C71" w:rsidRPr="00BE222E" w:rsidRDefault="00F50C71" w:rsidP="00F50C71">
                  <w:pPr>
                    <w:tabs>
                      <w:tab w:val="left" w:pos="0"/>
                      <w:tab w:val="left" w:pos="1701"/>
                    </w:tabs>
                    <w:rPr>
                      <w:color w:val="auto"/>
                    </w:rPr>
                  </w:pPr>
                  <w:r w:rsidRPr="00BE222E">
                    <w:rPr>
                      <w:color w:val="auto"/>
                    </w:rPr>
                    <w:t xml:space="preserve">Es sinnvoll, den Standzylinder pneumatisch zu füllen. Dies schult </w:t>
                  </w:r>
                  <w:r>
                    <w:rPr>
                      <w:color w:val="auto"/>
                    </w:rPr>
                    <w:t xml:space="preserve">ebenfalls die Fähigkeiten der SuS </w:t>
                  </w:r>
                  <w:r w:rsidRPr="00BE222E">
                    <w:rPr>
                      <w:color w:val="auto"/>
                    </w:rPr>
                    <w:t>im Umgang mit einer pneumatischen Wanne.</w:t>
                  </w:r>
                </w:p>
                <w:p w:rsidR="00F50C71" w:rsidRPr="000D10FB" w:rsidRDefault="00F50C71" w:rsidP="00F50C71">
                  <w:pPr>
                    <w:rPr>
                      <w:color w:val="1F497D" w:themeColor="text2"/>
                    </w:rPr>
                  </w:pPr>
                </w:p>
              </w:txbxContent>
            </v:textbox>
            <w10:wrap type="none"/>
            <w10:anchorlock/>
          </v:shape>
        </w:pict>
      </w:r>
    </w:p>
    <w:p w:rsidR="002D1F3A" w:rsidRDefault="002D1F3A"/>
    <w:sectPr w:rsidR="002D1F3A" w:rsidSect="002D1F3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50C71"/>
    <w:rsid w:val="000D52E2"/>
    <w:rsid w:val="002D1F3A"/>
    <w:rsid w:val="00F50C7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0C7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50C7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50C7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50C7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50C7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50C7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50C7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50C7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50C7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50C7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0C7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50C7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50C7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50C7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50C7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50C7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50C7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50C7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50C7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50C71"/>
    <w:pPr>
      <w:spacing w:line="240" w:lineRule="auto"/>
    </w:pPr>
    <w:rPr>
      <w:bCs/>
      <w:color w:val="auto"/>
      <w:sz w:val="18"/>
      <w:szCs w:val="18"/>
    </w:rPr>
  </w:style>
  <w:style w:type="character" w:styleId="Hyperlink">
    <w:name w:val="Hyperlink"/>
    <w:basedOn w:val="Absatz-Standardschriftart"/>
    <w:uiPriority w:val="99"/>
    <w:unhideWhenUsed/>
    <w:rsid w:val="00F50C71"/>
    <w:rPr>
      <w:color w:val="0000FF" w:themeColor="hyperlink"/>
      <w:u w:val="single"/>
    </w:rPr>
  </w:style>
  <w:style w:type="paragraph" w:styleId="Sprechblasentext">
    <w:name w:val="Balloon Text"/>
    <w:basedOn w:val="Standard"/>
    <w:link w:val="SprechblasentextZchn"/>
    <w:uiPriority w:val="99"/>
    <w:semiHidden/>
    <w:unhideWhenUsed/>
    <w:rsid w:val="00F50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0C71"/>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e.wikipedia.org/wiki/H-_und_P-S%C3%A4tze" TargetMode="Externa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1.png"/><Relationship Id="rId5" Type="http://schemas.openxmlformats.org/officeDocument/2006/relationships/hyperlink" Target="http://de.wikipedia.org/wiki/H-_und_P-S%C3%A4tze" TargetMode="External"/><Relationship Id="rId15" Type="http://schemas.openxmlformats.org/officeDocument/2006/relationships/image" Target="media/image5.png"/><Relationship Id="rId10" Type="http://schemas.openxmlformats.org/officeDocument/2006/relationships/hyperlink" Target="http://de.wikipedia.org/wiki/H-_und_P-S%C3%A4tze"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1094</Characters>
  <Application>Microsoft Office Word</Application>
  <DocSecurity>0</DocSecurity>
  <Lines>9</Lines>
  <Paragraphs>2</Paragraphs>
  <ScaleCrop>false</ScaleCrop>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2013-08-10T13:59:00Z</dcterms:created>
  <dcterms:modified xsi:type="dcterms:W3CDTF">2013-08-10T14:00:00Z</dcterms:modified>
</cp:coreProperties>
</file>