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E0" w:rsidRPr="00A307C9" w:rsidRDefault="00161BE0" w:rsidP="00161BE0">
      <w:pPr>
        <w:pStyle w:val="berschrift2"/>
        <w:numPr>
          <w:ilvl w:val="0"/>
          <w:numId w:val="0"/>
        </w:numPr>
        <w:ind w:left="576" w:hanging="576"/>
        <w:rPr>
          <w:color w:val="000000" w:themeColor="text1"/>
        </w:rPr>
      </w:pPr>
      <w:bookmarkStart w:id="0" w:name="_Toc363375221"/>
      <w:r w:rsidRPr="00A307C9">
        <w:rPr>
          <w:color w:val="000000" w:themeColor="text1"/>
        </w:rPr>
        <w:t>V 6 – Dichte von Stickstoff</w:t>
      </w:r>
      <w:bookmarkEnd w:id="0"/>
    </w:p>
    <w:p w:rsidR="00161BE0" w:rsidRPr="00A307C9" w:rsidRDefault="00161BE0" w:rsidP="00161BE0">
      <w:pPr>
        <w:rPr>
          <w:color w:val="000000" w:themeColor="text1"/>
        </w:rPr>
      </w:pPr>
      <w:r>
        <w:rPr>
          <w:noProof/>
          <w:color w:val="000000" w:themeColor="text1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5pt;margin-top:1.15pt;width:462.45pt;height:51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161BE0" w:rsidRPr="00BE222E" w:rsidRDefault="00161BE0" w:rsidP="00161BE0">
                  <w:pPr>
                    <w:rPr>
                      <w:color w:val="auto"/>
                    </w:rPr>
                  </w:pPr>
                  <w:r w:rsidRPr="00BE222E">
                    <w:rPr>
                      <w:color w:val="auto"/>
                    </w:rPr>
                    <w:t>Zum Verständnis dieses Versuchs sollten die SuS bereits die Dichte als spezifische Stoffeige</w:t>
                  </w:r>
                  <w:r w:rsidRPr="00BE222E">
                    <w:rPr>
                      <w:color w:val="auto"/>
                    </w:rPr>
                    <w:t>n</w:t>
                  </w:r>
                  <w:r w:rsidRPr="00BE222E">
                    <w:rPr>
                      <w:color w:val="auto"/>
                    </w:rPr>
                    <w:t>schaft kennen.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61BE0" w:rsidRPr="00A307C9" w:rsidTr="007F33F6">
        <w:tc>
          <w:tcPr>
            <w:tcW w:w="9322" w:type="dxa"/>
            <w:gridSpan w:val="9"/>
            <w:shd w:val="clear" w:color="auto" w:fill="4F81BD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A307C9">
              <w:rPr>
                <w:b/>
                <w:bCs/>
                <w:color w:val="000000" w:themeColor="text1"/>
              </w:rPr>
              <w:t>Gefahrenstoffe</w:t>
            </w:r>
          </w:p>
        </w:tc>
      </w:tr>
      <w:tr w:rsidR="00161BE0" w:rsidRPr="00A307C9" w:rsidTr="007F33F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 w:line="276" w:lineRule="auto"/>
              <w:jc w:val="center"/>
              <w:rPr>
                <w:bCs/>
                <w:color w:val="000000" w:themeColor="text1"/>
                <w:sz w:val="20"/>
              </w:rPr>
            </w:pPr>
            <w:r w:rsidRPr="00A307C9">
              <w:rPr>
                <w:color w:val="000000" w:themeColor="text1"/>
                <w:sz w:val="20"/>
                <w:szCs w:val="20"/>
              </w:rPr>
              <w:t xml:space="preserve">Stickstoff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pStyle w:val="Beschriftung"/>
              <w:spacing w:after="0"/>
              <w:jc w:val="center"/>
              <w:rPr>
                <w:color w:val="000000" w:themeColor="text1"/>
                <w:sz w:val="20"/>
              </w:rPr>
            </w:pPr>
            <w:r w:rsidRPr="00A307C9">
              <w:rPr>
                <w:color w:val="000000" w:themeColor="text1"/>
                <w:sz w:val="20"/>
              </w:rPr>
              <w:t xml:space="preserve">H: </w:t>
            </w:r>
            <w:hyperlink r:id="rId5" w:anchor="H-S.C3.A4tze" w:tooltip="H- und P-Sätze" w:history="1">
              <w:r w:rsidRPr="00A307C9">
                <w:rPr>
                  <w:rStyle w:val="Hyperlink"/>
                  <w:color w:val="000000" w:themeColor="text1"/>
                  <w:sz w:val="20"/>
                </w:rPr>
                <w:t>332</w:t>
              </w:r>
            </w:hyperlink>
            <w:r w:rsidRPr="00A307C9">
              <w:rPr>
                <w:color w:val="000000" w:themeColor="text1"/>
                <w:sz w:val="20"/>
              </w:rPr>
              <w:t>-</w:t>
            </w:r>
            <w:hyperlink r:id="rId6" w:anchor="H-S.C3.A4tze" w:tooltip="H- und P-Sätze" w:history="1">
              <w:r w:rsidRPr="00A307C9">
                <w:rPr>
                  <w:rStyle w:val="Hyperlink"/>
                  <w:color w:val="000000" w:themeColor="text1"/>
                  <w:sz w:val="20"/>
                </w:rPr>
                <w:t>312</w:t>
              </w:r>
            </w:hyperlink>
            <w:r w:rsidRPr="00A307C9">
              <w:rPr>
                <w:color w:val="000000" w:themeColor="text1"/>
                <w:sz w:val="20"/>
              </w:rPr>
              <w:t>-</w:t>
            </w:r>
            <w:hyperlink r:id="rId7" w:anchor="H-S.C3.A4tze" w:tooltip="H- und P-Sätze" w:history="1">
              <w:r w:rsidRPr="00A307C9">
                <w:rPr>
                  <w:rStyle w:val="Hyperlink"/>
                  <w:color w:val="000000" w:themeColor="text1"/>
                  <w:sz w:val="20"/>
                </w:rPr>
                <w:t>302</w:t>
              </w:r>
            </w:hyperlink>
            <w:r w:rsidRPr="00A307C9">
              <w:rPr>
                <w:color w:val="000000" w:themeColor="text1"/>
                <w:sz w:val="20"/>
              </w:rPr>
              <w:t>-</w:t>
            </w:r>
            <w:hyperlink r:id="rId8" w:anchor="H-S.C3.A4tze" w:tooltip="H- und P-Sätze" w:history="1">
              <w:r w:rsidRPr="00A307C9">
                <w:rPr>
                  <w:rStyle w:val="Hyperlink"/>
                  <w:color w:val="000000" w:themeColor="text1"/>
                  <w:sz w:val="20"/>
                </w:rPr>
                <w:t>412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pStyle w:val="Beschriftung"/>
              <w:spacing w:after="0"/>
              <w:jc w:val="center"/>
              <w:rPr>
                <w:color w:val="000000" w:themeColor="text1"/>
                <w:sz w:val="20"/>
              </w:rPr>
            </w:pPr>
            <w:r w:rsidRPr="00A307C9">
              <w:rPr>
                <w:color w:val="000000" w:themeColor="text1"/>
                <w:sz w:val="20"/>
              </w:rPr>
              <w:t xml:space="preserve">P: </w:t>
            </w:r>
            <w:hyperlink r:id="rId9" w:anchor="P-S.C3.A4tze" w:tooltip="H- und P-Sätze" w:history="1">
              <w:r w:rsidRPr="00A307C9">
                <w:rPr>
                  <w:rStyle w:val="Hyperlink"/>
                  <w:color w:val="000000" w:themeColor="text1"/>
                  <w:sz w:val="20"/>
                </w:rPr>
                <w:t>273</w:t>
              </w:r>
            </w:hyperlink>
            <w:r w:rsidRPr="00A307C9">
              <w:rPr>
                <w:color w:val="000000" w:themeColor="text1"/>
                <w:sz w:val="20"/>
              </w:rPr>
              <w:t>-​</w:t>
            </w:r>
            <w:hyperlink r:id="rId10" w:anchor="P-S.C3.A4tze" w:tooltip="H- und P-Sätze" w:history="1">
              <w:r w:rsidRPr="00A307C9">
                <w:rPr>
                  <w:rStyle w:val="Hyperlink"/>
                  <w:color w:val="000000" w:themeColor="text1"/>
                  <w:sz w:val="20"/>
                </w:rPr>
                <w:t>302+352</w:t>
              </w:r>
            </w:hyperlink>
          </w:p>
        </w:tc>
      </w:tr>
      <w:tr w:rsidR="00161BE0" w:rsidRPr="00A307C9" w:rsidTr="007F33F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A307C9">
              <w:rPr>
                <w:b/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61BE0" w:rsidRPr="00A307C9" w:rsidRDefault="00161BE0" w:rsidP="007F33F6">
            <w:pPr>
              <w:spacing w:after="0"/>
              <w:jc w:val="center"/>
              <w:rPr>
                <w:color w:val="000000" w:themeColor="text1"/>
              </w:rPr>
            </w:pPr>
            <w:r w:rsidRPr="00A307C9">
              <w:rPr>
                <w:noProof/>
                <w:color w:val="000000" w:themeColor="text1"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 xml:space="preserve">Materialien: 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>2 Standzylinder, Stative, Glasdeckel zum Abdecken, Kerze an einem Draht</w:t>
      </w: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>
        <w:rPr>
          <w:color w:val="000000" w:themeColor="text1"/>
        </w:rPr>
        <w:t>Chemikalien: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307C9">
        <w:rPr>
          <w:color w:val="000000" w:themeColor="text1"/>
        </w:rPr>
        <w:t>Stickstoff</w:t>
      </w: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 xml:space="preserve">Durchführung: 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Zwei Standzylinder werden pneumatisch mit Stickstoff </w:t>
      </w:r>
      <w:proofErr w:type="spellStart"/>
      <w:r w:rsidRPr="00A307C9">
        <w:rPr>
          <w:color w:val="000000" w:themeColor="text1"/>
        </w:rPr>
        <w:t>befüllt</w:t>
      </w:r>
      <w:proofErr w:type="spellEnd"/>
      <w:r w:rsidRPr="00A307C9">
        <w:rPr>
          <w:color w:val="000000" w:themeColor="text1"/>
        </w:rPr>
        <w:t xml:space="preserve">. Dann wird der eine um </w:t>
      </w:r>
      <w:r>
        <w:rPr>
          <w:color w:val="000000" w:themeColor="text1"/>
        </w:rPr>
        <w:t xml:space="preserve">180° gedreht und </w:t>
      </w:r>
      <w:r w:rsidRPr="00A307C9">
        <w:rPr>
          <w:color w:val="000000" w:themeColor="text1"/>
        </w:rPr>
        <w:t xml:space="preserve">in einem Stativ eingespannt. Der andere Standzylinder wird </w:t>
      </w:r>
      <w:r>
        <w:rPr>
          <w:color w:val="000000" w:themeColor="text1"/>
        </w:rPr>
        <w:t>daneben</w:t>
      </w:r>
      <w:r w:rsidRPr="00A307C9">
        <w:rPr>
          <w:color w:val="000000" w:themeColor="text1"/>
        </w:rPr>
        <w:t xml:space="preserve"> aufgestellt. Nun hält man in beide Standzyli</w:t>
      </w:r>
      <w:r w:rsidRPr="00A307C9">
        <w:rPr>
          <w:color w:val="000000" w:themeColor="text1"/>
        </w:rPr>
        <w:t>n</w:t>
      </w:r>
      <w:r w:rsidRPr="00A307C9">
        <w:rPr>
          <w:color w:val="000000" w:themeColor="text1"/>
        </w:rPr>
        <w:t xml:space="preserve">der eine Kerze. </w:t>
      </w: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>Beobachtung: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 xml:space="preserve">Die Kerze in dem Standzylinder </w:t>
      </w:r>
      <w:r>
        <w:rPr>
          <w:color w:val="000000" w:themeColor="text1"/>
        </w:rPr>
        <w:t xml:space="preserve">mit der Öffnung nach unten </w:t>
      </w:r>
      <w:r w:rsidRPr="00A307C9">
        <w:rPr>
          <w:color w:val="000000" w:themeColor="text1"/>
        </w:rPr>
        <w:t>erlischt. Die in dem anderen Standzylinder brennt weiter.</w:t>
      </w: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noProof/>
          <w:color w:val="000000" w:themeColor="text1"/>
          <w:lang w:eastAsia="de-DE"/>
        </w:rPr>
        <w:drawing>
          <wp:inline distT="0" distB="0" distL="0" distR="0">
            <wp:extent cx="2101177" cy="2355011"/>
            <wp:effectExtent l="19050" t="0" r="0" b="0"/>
            <wp:docPr id="143" name="Bild 62" descr="C:\Dokumente und Einstellungen\Paula\Desktop\Eigene Dateien\uni\master\2. Semester\SVP\fotos 7&amp;8\20130729_10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Dokumente und Einstellungen\Paula\Desktop\Eigene Dateien\uni\master\2. Semester\SVP\fotos 7&amp;8\20130729_1050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4078" r="8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55" cy="235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7C9">
        <w:rPr>
          <w:noProof/>
          <w:color w:val="000000" w:themeColor="text1"/>
          <w:lang w:eastAsia="de-DE"/>
        </w:rPr>
        <w:drawing>
          <wp:inline distT="0" distB="0" distL="0" distR="0">
            <wp:extent cx="2386728" cy="1274110"/>
            <wp:effectExtent l="0" t="552450" r="0" b="535640"/>
            <wp:docPr id="144" name="Bild 63" descr="C:\Dokumente und Einstellungen\Paula\Desktop\Eigene Dateien\uni\master\2. Semester\SVP\fotos 7&amp;8\20130729_10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Dokumente und Einstellungen\Paula\Desktop\Eigene Dateien\uni\master\2. Semester\SVP\fotos 7&amp;8\20130729_10474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5404" t="28429" r="6836" b="162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6728" cy="127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A307C9" w:rsidRDefault="00161BE0" w:rsidP="00161BE0">
      <w:pPr>
        <w:pStyle w:val="Beschriftung"/>
        <w:spacing w:after="0"/>
        <w:ind w:left="2693" w:hanging="2693"/>
        <w:jc w:val="left"/>
        <w:rPr>
          <w:color w:val="000000" w:themeColor="text1"/>
        </w:rPr>
      </w:pPr>
      <w:r w:rsidRPr="00A307C9">
        <w:rPr>
          <w:color w:val="000000" w:themeColor="text1"/>
        </w:rPr>
        <w:t xml:space="preserve">Abb. </w:t>
      </w:r>
      <w:r w:rsidRPr="00A307C9">
        <w:rPr>
          <w:color w:val="000000" w:themeColor="text1"/>
        </w:rPr>
        <w:fldChar w:fldCharType="begin"/>
      </w:r>
      <w:r w:rsidRPr="00A307C9">
        <w:rPr>
          <w:color w:val="000000" w:themeColor="text1"/>
        </w:rPr>
        <w:instrText xml:space="preserve"> SEQ Abb. \* ARABIC </w:instrText>
      </w:r>
      <w:r w:rsidRPr="00A307C9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5</w:t>
      </w:r>
      <w:r w:rsidRPr="00A307C9">
        <w:rPr>
          <w:color w:val="000000" w:themeColor="text1"/>
        </w:rPr>
        <w:fldChar w:fldCharType="end"/>
      </w:r>
      <w:r w:rsidRPr="00A307C9">
        <w:rPr>
          <w:color w:val="000000" w:themeColor="text1"/>
        </w:rPr>
        <w:t xml:space="preserve"> – Kerze erlischt in dem </w:t>
      </w:r>
      <w:r>
        <w:rPr>
          <w:color w:val="000000" w:themeColor="text1"/>
        </w:rPr>
        <w:t>umgedreht</w:t>
      </w:r>
      <w:r w:rsidRPr="00A307C9">
        <w:rPr>
          <w:color w:val="000000" w:themeColor="text1"/>
        </w:rPr>
        <w:tab/>
        <w:t>Abb. 2- Kerze brennt weiter in dem anderen Standzylinder</w:t>
      </w:r>
    </w:p>
    <w:p w:rsidR="00161BE0" w:rsidRPr="00A307C9" w:rsidRDefault="00161BE0" w:rsidP="00161BE0">
      <w:pPr>
        <w:ind w:firstLine="708"/>
        <w:rPr>
          <w:color w:val="000000" w:themeColor="text1"/>
          <w:sz w:val="18"/>
          <w:szCs w:val="18"/>
        </w:rPr>
      </w:pPr>
      <w:r w:rsidRPr="00A307C9">
        <w:rPr>
          <w:color w:val="000000" w:themeColor="text1"/>
          <w:sz w:val="18"/>
          <w:szCs w:val="18"/>
        </w:rPr>
        <w:t>eingespannten Standzylinder</w:t>
      </w: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000000" w:themeColor="text1"/>
        </w:rPr>
      </w:pPr>
      <w:r w:rsidRPr="00A307C9">
        <w:rPr>
          <w:color w:val="000000" w:themeColor="text1"/>
        </w:rPr>
        <w:t>Deutung: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  <w:t>Die Dichte von Stickstoff ist geringer als die von Luft. Deshalb steigt Stic</w:t>
      </w:r>
      <w:r w:rsidRPr="00A307C9">
        <w:rPr>
          <w:color w:val="000000" w:themeColor="text1"/>
        </w:rPr>
        <w:t>k</w:t>
      </w:r>
      <w:r w:rsidRPr="00A307C9">
        <w:rPr>
          <w:color w:val="000000" w:themeColor="text1"/>
        </w:rPr>
        <w:t xml:space="preserve">stoffgas nach oben und kann deswegen nicht aus dem umgedrehten </w:t>
      </w:r>
      <w:r w:rsidRPr="00A307C9">
        <w:rPr>
          <w:color w:val="000000" w:themeColor="text1"/>
        </w:rPr>
        <w:lastRenderedPageBreak/>
        <w:t>Stan</w:t>
      </w:r>
      <w:r w:rsidRPr="00A307C9">
        <w:rPr>
          <w:color w:val="000000" w:themeColor="text1"/>
        </w:rPr>
        <w:t>d</w:t>
      </w:r>
      <w:r w:rsidRPr="00A307C9">
        <w:rPr>
          <w:color w:val="000000" w:themeColor="text1"/>
        </w:rPr>
        <w:t>zylinder entweichen. In dem richtig herum gestellten Standzylinder befi</w:t>
      </w:r>
      <w:r w:rsidRPr="00A307C9">
        <w:rPr>
          <w:color w:val="000000" w:themeColor="text1"/>
        </w:rPr>
        <w:t>n</w:t>
      </w:r>
      <w:r w:rsidRPr="00A307C9">
        <w:rPr>
          <w:color w:val="000000" w:themeColor="text1"/>
        </w:rPr>
        <w:t xml:space="preserve">det sich jedoch nach kurzer Zeit nur noch Luft, deren Sauerstoffanteil eine Verbrennung unterstützt. </w:t>
      </w:r>
    </w:p>
    <w:p w:rsidR="00161BE0" w:rsidRPr="00A307C9" w:rsidRDefault="00161BE0" w:rsidP="00161BE0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000000" w:themeColor="text1"/>
        </w:rPr>
      </w:pPr>
      <w:r w:rsidRPr="00A307C9">
        <w:rPr>
          <w:rFonts w:eastAsiaTheme="minorEastAsia"/>
          <w:color w:val="000000" w:themeColor="text1"/>
        </w:rPr>
        <w:t xml:space="preserve">Entsorgung: </w:t>
      </w:r>
      <w:r w:rsidRPr="00A307C9">
        <w:rPr>
          <w:rFonts w:eastAsiaTheme="minorEastAsia"/>
          <w:color w:val="000000" w:themeColor="text1"/>
        </w:rPr>
        <w:tab/>
      </w:r>
      <w:r w:rsidRPr="00A307C9"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>Der restliche Stickstoff verdampft.</w:t>
      </w:r>
    </w:p>
    <w:p w:rsidR="00161BE0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  <w:r w:rsidRPr="00A307C9">
        <w:rPr>
          <w:color w:val="000000" w:themeColor="text1"/>
        </w:rPr>
        <w:t>Literatur:</w:t>
      </w:r>
      <w:r w:rsidRPr="00A307C9">
        <w:rPr>
          <w:color w:val="000000" w:themeColor="text1"/>
        </w:rPr>
        <w:tab/>
      </w:r>
      <w:r w:rsidRPr="00A307C9">
        <w:rPr>
          <w:color w:val="000000" w:themeColor="text1"/>
        </w:rPr>
        <w:tab/>
      </w:r>
      <w:proofErr w:type="spellStart"/>
      <w:r>
        <w:rPr>
          <w:color w:val="000000" w:themeColor="text1"/>
        </w:rPr>
        <w:t>Keune</w:t>
      </w:r>
      <w:proofErr w:type="spellEnd"/>
      <w:r>
        <w:rPr>
          <w:color w:val="000000" w:themeColor="text1"/>
        </w:rPr>
        <w:t>, H. und Boeck, H., Chemische Schulexperimente- Band 1: Anorgan</w:t>
      </w:r>
      <w:r>
        <w:rPr>
          <w:color w:val="000000" w:themeColor="text1"/>
        </w:rPr>
        <w:t>i</w:t>
      </w:r>
      <w:r>
        <w:rPr>
          <w:color w:val="000000" w:themeColor="text1"/>
        </w:rPr>
        <w:t xml:space="preserve">sche Chemie, </w:t>
      </w:r>
      <w:proofErr w:type="spellStart"/>
      <w:r>
        <w:rPr>
          <w:color w:val="000000" w:themeColor="text1"/>
        </w:rPr>
        <w:t>Cornelsenverlag</w:t>
      </w:r>
      <w:proofErr w:type="spellEnd"/>
      <w:r>
        <w:rPr>
          <w:color w:val="000000" w:themeColor="text1"/>
        </w:rPr>
        <w:t>, 1. Auflage, 2003, S. 125.</w:t>
      </w:r>
    </w:p>
    <w:p w:rsidR="00161BE0" w:rsidRDefault="00161BE0" w:rsidP="00161BE0">
      <w:pPr>
        <w:tabs>
          <w:tab w:val="left" w:pos="1701"/>
          <w:tab w:val="left" w:pos="1985"/>
        </w:tabs>
        <w:ind w:left="1980" w:hanging="1980"/>
        <w:rPr>
          <w:color w:val="000000" w:themeColor="text1"/>
        </w:rPr>
      </w:pPr>
    </w:p>
    <w:p w:rsidR="002D1F3A" w:rsidRDefault="002D1F3A"/>
    <w:sectPr w:rsidR="002D1F3A" w:rsidSect="002D1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BE0"/>
    <w:rsid w:val="00161BE0"/>
    <w:rsid w:val="002D1F3A"/>
    <w:rsid w:val="00AC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BE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1BE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1BE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1BE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1BE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1BE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1BE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1BE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1BE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1BE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1BE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1BE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1BE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1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1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1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1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1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1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61BE0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1BE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BE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de.wikipedia.org/wiki/H-_und_P-S%C3%A4tze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-_und_P-S%C3%A4tze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dcterms:created xsi:type="dcterms:W3CDTF">2013-08-10T14:00:00Z</dcterms:created>
  <dcterms:modified xsi:type="dcterms:W3CDTF">2013-08-10T14:00:00Z</dcterms:modified>
</cp:coreProperties>
</file>