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32" w:rsidRPr="006D5932" w:rsidRDefault="003C4E2D" w:rsidP="006D5932">
      <w:pPr>
        <w:keepNext/>
        <w:keepLines/>
        <w:numPr>
          <w:ilvl w:val="1"/>
          <w:numId w:val="0"/>
        </w:numPr>
        <w:ind w:left="576" w:hanging="576"/>
        <w:jc w:val="both"/>
        <w:outlineLvl w:val="1"/>
        <w:rPr>
          <w:rFonts w:asciiTheme="majorHAnsi" w:eastAsiaTheme="majorEastAsia" w:hAnsiTheme="majorHAnsi" w:cstheme="majorBidi"/>
          <w:b/>
          <w:bCs/>
          <w:color w:val="1D1B11" w:themeColor="background2" w:themeShade="1A"/>
          <w:szCs w:val="26"/>
        </w:rPr>
      </w:pPr>
      <w:bookmarkStart w:id="0" w:name="_Toc362965689"/>
      <w:r>
        <w:rPr>
          <w:rFonts w:asciiTheme="majorHAnsi" w:eastAsiaTheme="majorEastAsia" w:hAnsiTheme="majorHAnsi" w:cstheme="majorBidi"/>
          <w:b/>
          <w:bCs/>
          <w:color w:val="1D1B11" w:themeColor="background2" w:themeShade="1A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.05pt;margin-top:25.5pt;width:462.45pt;height:102.7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37">
              <w:txbxContent>
                <w:p w:rsidR="006D5932" w:rsidRPr="00533120" w:rsidRDefault="006D5932" w:rsidP="00533120">
                  <w:pPr>
                    <w:jc w:val="both"/>
                    <w:rPr>
                      <w:rFonts w:asciiTheme="majorHAnsi" w:hAnsiTheme="majorHAnsi"/>
                    </w:rPr>
                  </w:pPr>
                  <w:r w:rsidRPr="00533120">
                    <w:rPr>
                      <w:rFonts w:asciiTheme="majorHAnsi" w:hAnsiTheme="majorHAnsi"/>
                    </w:rPr>
                    <w:t>In vielen Büchern ist die Aktivierungsenergie als ein Energieberg beschrieben, der für den Start einer chemischen Reaktion überwunden werden muss. Dieser Modell-Versuch hilft den SuS bei der Vorstellung zur Aktivierungsenergie.</w:t>
                  </w:r>
                </w:p>
                <w:p w:rsidR="006D5932" w:rsidRPr="00533120" w:rsidRDefault="006D5932" w:rsidP="00533120">
                  <w:pPr>
                    <w:jc w:val="both"/>
                    <w:rPr>
                      <w:rFonts w:asciiTheme="majorHAnsi" w:hAnsiTheme="majorHAnsi"/>
                    </w:rPr>
                  </w:pPr>
                  <w:r w:rsidRPr="00533120">
                    <w:rPr>
                      <w:rFonts w:asciiTheme="majorHAnsi" w:hAnsiTheme="majorHAnsi"/>
                    </w:rPr>
                    <w:t>Vor dem Versuch sollten die SuS chemische Reaktionen und die dazugehörigen Begriffe wie „Produkte“ und „Edukte“ kennen.</w:t>
                  </w:r>
                </w:p>
              </w:txbxContent>
            </v:textbox>
            <w10:wrap type="square"/>
          </v:shape>
        </w:pict>
      </w:r>
      <w:r w:rsidR="006D5932" w:rsidRPr="006D5932">
        <w:rPr>
          <w:rFonts w:asciiTheme="majorHAnsi" w:eastAsiaTheme="majorEastAsia" w:hAnsiTheme="majorHAnsi" w:cstheme="majorBidi"/>
          <w:b/>
          <w:bCs/>
          <w:color w:val="1D1B11" w:themeColor="background2" w:themeShade="1A"/>
          <w:szCs w:val="26"/>
        </w:rPr>
        <w:t>V4 – Saugheber - Modell</w:t>
      </w:r>
      <w:bookmarkEnd w:id="0"/>
    </w:p>
    <w:p w:rsidR="006D5932" w:rsidRPr="006D5932" w:rsidRDefault="006D5932" w:rsidP="006D5932">
      <w:pPr>
        <w:tabs>
          <w:tab w:val="left" w:pos="1701"/>
          <w:tab w:val="left" w:pos="1985"/>
        </w:tabs>
        <w:ind w:left="1980" w:hanging="1980"/>
        <w:jc w:val="both"/>
        <w:rPr>
          <w:rFonts w:asciiTheme="majorHAnsi" w:hAnsiTheme="majorHAnsi"/>
          <w:color w:val="000000" w:themeColor="text1"/>
        </w:r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6D5932" w:rsidRPr="006D5932" w:rsidTr="001D400B">
        <w:tc>
          <w:tcPr>
            <w:tcW w:w="9322" w:type="dxa"/>
            <w:gridSpan w:val="9"/>
            <w:shd w:val="clear" w:color="auto" w:fill="4F81BD"/>
            <w:vAlign w:val="center"/>
          </w:tcPr>
          <w:p w:rsidR="006D5932" w:rsidRPr="006D5932" w:rsidRDefault="006D5932" w:rsidP="006D5932">
            <w:pPr>
              <w:tabs>
                <w:tab w:val="left" w:pos="1701"/>
                <w:tab w:val="left" w:pos="1985"/>
              </w:tabs>
              <w:ind w:left="1980" w:hanging="1980"/>
              <w:jc w:val="both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6D5932">
              <w:rPr>
                <w:rFonts w:asciiTheme="majorHAnsi" w:hAnsiTheme="majorHAnsi"/>
                <w:b/>
                <w:bCs/>
                <w:color w:val="000000" w:themeColor="text1"/>
              </w:rPr>
              <w:t>Gefahrenstoffe</w:t>
            </w:r>
          </w:p>
        </w:tc>
      </w:tr>
      <w:tr w:rsidR="006D5932" w:rsidRPr="006D5932" w:rsidTr="001D400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D5932" w:rsidRPr="006D5932" w:rsidRDefault="006D5932" w:rsidP="006D5932">
            <w:pPr>
              <w:tabs>
                <w:tab w:val="left" w:pos="1701"/>
                <w:tab w:val="left" w:pos="1985"/>
              </w:tabs>
              <w:ind w:left="1980" w:hanging="1980"/>
              <w:jc w:val="both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6D5932">
              <w:rPr>
                <w:rFonts w:asciiTheme="majorHAnsi" w:hAnsiTheme="majorHAnsi"/>
                <w:color w:val="000000" w:themeColor="text1"/>
              </w:rPr>
              <w:t xml:space="preserve">Wasser 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D5932" w:rsidRPr="006D5932" w:rsidRDefault="006D5932" w:rsidP="006D5932">
            <w:pPr>
              <w:tabs>
                <w:tab w:val="left" w:pos="1701"/>
                <w:tab w:val="left" w:pos="1985"/>
              </w:tabs>
              <w:ind w:left="1980" w:hanging="198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D5932">
              <w:rPr>
                <w:rFonts w:asciiTheme="majorHAnsi" w:hAnsiTheme="majorHAnsi"/>
                <w:color w:val="000000" w:themeColor="text1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D5932" w:rsidRPr="006D5932" w:rsidRDefault="006D5932" w:rsidP="006D5932">
            <w:pPr>
              <w:tabs>
                <w:tab w:val="left" w:pos="1701"/>
                <w:tab w:val="left" w:pos="1985"/>
              </w:tabs>
              <w:ind w:left="1980" w:hanging="198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D5932">
              <w:rPr>
                <w:rFonts w:asciiTheme="majorHAnsi" w:hAnsiTheme="majorHAnsi"/>
                <w:color w:val="000000" w:themeColor="text1"/>
              </w:rPr>
              <w:t>P: -</w:t>
            </w:r>
          </w:p>
        </w:tc>
      </w:tr>
      <w:tr w:rsidR="006D5932" w:rsidRPr="006D5932" w:rsidTr="001D400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D5932" w:rsidRPr="006D5932" w:rsidRDefault="006D5932" w:rsidP="006D5932">
            <w:pPr>
              <w:tabs>
                <w:tab w:val="left" w:pos="1701"/>
                <w:tab w:val="left" w:pos="1985"/>
              </w:tabs>
              <w:ind w:left="1980" w:hanging="198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D5932">
              <w:rPr>
                <w:rFonts w:asciiTheme="majorHAnsi" w:hAnsiTheme="majorHAnsi"/>
                <w:color w:val="000000" w:themeColor="text1"/>
              </w:rPr>
              <w:t>Lebensmittelfarbe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D5932" w:rsidRPr="006D5932" w:rsidRDefault="006D5932" w:rsidP="006D5932">
            <w:pPr>
              <w:tabs>
                <w:tab w:val="left" w:pos="1701"/>
                <w:tab w:val="left" w:pos="1985"/>
              </w:tabs>
              <w:ind w:left="1980" w:hanging="198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D5932">
              <w:rPr>
                <w:rFonts w:asciiTheme="majorHAnsi" w:hAnsiTheme="majorHAnsi"/>
                <w:color w:val="000000" w:themeColor="text1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D5932" w:rsidRPr="006D5932" w:rsidRDefault="006D5932" w:rsidP="006D5932">
            <w:pPr>
              <w:tabs>
                <w:tab w:val="left" w:pos="1701"/>
                <w:tab w:val="left" w:pos="1985"/>
              </w:tabs>
              <w:ind w:left="1980" w:hanging="198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D5932">
              <w:rPr>
                <w:rFonts w:asciiTheme="majorHAnsi" w:hAnsiTheme="majorHAnsi"/>
                <w:color w:val="000000" w:themeColor="text1"/>
              </w:rPr>
              <w:t>P: -</w:t>
            </w:r>
          </w:p>
        </w:tc>
      </w:tr>
      <w:tr w:rsidR="006D5932" w:rsidRPr="006D5932" w:rsidTr="001D400B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D5932" w:rsidRPr="006D5932" w:rsidRDefault="006D5932" w:rsidP="006D5932">
            <w:pPr>
              <w:tabs>
                <w:tab w:val="left" w:pos="1701"/>
                <w:tab w:val="left" w:pos="1985"/>
              </w:tabs>
              <w:ind w:left="1980" w:hanging="1980"/>
              <w:jc w:val="both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6D5932">
              <w:rPr>
                <w:rFonts w:asciiTheme="majorHAnsi" w:hAnsiTheme="majorHAnsi"/>
                <w:b/>
                <w:noProof/>
                <w:color w:val="000000" w:themeColor="text1"/>
                <w:lang w:eastAsia="de-DE"/>
              </w:rPr>
              <w:drawing>
                <wp:inline distT="0" distB="0" distL="0" distR="0">
                  <wp:extent cx="538061" cy="540000"/>
                  <wp:effectExtent l="0" t="0" r="0" b="0"/>
                  <wp:docPr id="12" name="Bild 6" descr="C:\Users\TOSHIBA\Desktop\SVP_Chemie\Protokolle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OSHIBA\Desktop\SVP_Chemie\Protokolle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06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D5932" w:rsidRPr="006D5932" w:rsidRDefault="006D5932" w:rsidP="006D5932">
            <w:pPr>
              <w:tabs>
                <w:tab w:val="left" w:pos="1701"/>
                <w:tab w:val="left" w:pos="1985"/>
              </w:tabs>
              <w:ind w:left="1980" w:hanging="198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D5932">
              <w:rPr>
                <w:rFonts w:asciiTheme="majorHAnsi" w:hAnsiTheme="majorHAnsi"/>
                <w:noProof/>
                <w:color w:val="000000" w:themeColor="text1"/>
                <w:lang w:eastAsia="de-DE"/>
              </w:rPr>
              <w:drawing>
                <wp:inline distT="0" distB="0" distL="0" distR="0">
                  <wp:extent cx="538321" cy="540000"/>
                  <wp:effectExtent l="0" t="0" r="0" b="0"/>
                  <wp:docPr id="13" name="Bild 7" descr="C:\Users\TOSHIBA\Desktop\SVP_Chemie\Protokolle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OSHIBA\Desktop\SVP_Chemie\Protokolle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32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D5932" w:rsidRPr="006D5932" w:rsidRDefault="006D5932" w:rsidP="006D5932">
            <w:pPr>
              <w:tabs>
                <w:tab w:val="left" w:pos="1701"/>
                <w:tab w:val="left" w:pos="1985"/>
              </w:tabs>
              <w:ind w:left="1980" w:hanging="198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D5932">
              <w:rPr>
                <w:rFonts w:asciiTheme="majorHAnsi" w:hAnsiTheme="majorHAnsi"/>
                <w:noProof/>
                <w:color w:val="000000" w:themeColor="text1"/>
                <w:lang w:eastAsia="de-DE"/>
              </w:rPr>
              <w:drawing>
                <wp:inline distT="0" distB="0" distL="0" distR="0">
                  <wp:extent cx="540000" cy="551986"/>
                  <wp:effectExtent l="19050" t="0" r="0" b="0"/>
                  <wp:docPr id="14" name="Bild 8" descr="C:\Users\TOSHIBA\Desktop\SVP_Chemie\Protokol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OSHIBA\Desktop\SVP_Chemie\Protokol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51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D5932" w:rsidRPr="006D5932" w:rsidRDefault="006D5932" w:rsidP="006D5932">
            <w:pPr>
              <w:tabs>
                <w:tab w:val="left" w:pos="1701"/>
                <w:tab w:val="left" w:pos="1985"/>
              </w:tabs>
              <w:ind w:left="1980" w:hanging="198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D5932">
              <w:rPr>
                <w:rFonts w:asciiTheme="majorHAnsi" w:hAnsiTheme="majorHAnsi"/>
                <w:noProof/>
                <w:color w:val="000000" w:themeColor="text1"/>
                <w:lang w:eastAsia="de-DE"/>
              </w:rPr>
              <w:drawing>
                <wp:inline distT="0" distB="0" distL="0" distR="0">
                  <wp:extent cx="538320" cy="540000"/>
                  <wp:effectExtent l="0" t="0" r="0" b="0"/>
                  <wp:docPr id="15" name="Bild 9" descr="C:\Users\TOSHIBA\Desktop\SVP_Chemie\Protokolle\Piktogramme\Explosion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OSHIBA\Desktop\SVP_Chemie\Protokolle\Piktogramme\Explosion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32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D5932" w:rsidRPr="006D5932" w:rsidRDefault="006D5932" w:rsidP="006D5932">
            <w:pPr>
              <w:tabs>
                <w:tab w:val="left" w:pos="1701"/>
                <w:tab w:val="left" w:pos="1985"/>
              </w:tabs>
              <w:ind w:left="1980" w:hanging="198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D5932">
              <w:rPr>
                <w:rFonts w:asciiTheme="majorHAnsi" w:hAnsiTheme="majorHAnsi"/>
                <w:noProof/>
                <w:color w:val="000000" w:themeColor="text1"/>
                <w:lang w:eastAsia="de-DE"/>
              </w:rPr>
              <w:drawing>
                <wp:inline distT="0" distB="0" distL="0" distR="0">
                  <wp:extent cx="538321" cy="540000"/>
                  <wp:effectExtent l="0" t="0" r="0" b="0"/>
                  <wp:docPr id="16" name="Bild 10" descr="C:\Users\TOSHIBA\Desktop\SVP_Chemie\Protokolle\Piktogramme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OSHIBA\Desktop\SVP_Chemie\Protokolle\Piktogramme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32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D5932" w:rsidRPr="006D5932" w:rsidRDefault="006D5932" w:rsidP="006D5932">
            <w:pPr>
              <w:tabs>
                <w:tab w:val="left" w:pos="1701"/>
                <w:tab w:val="left" w:pos="1985"/>
              </w:tabs>
              <w:ind w:left="1980" w:hanging="198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D5932">
              <w:rPr>
                <w:rFonts w:asciiTheme="majorHAnsi" w:hAnsiTheme="majorHAnsi"/>
                <w:noProof/>
                <w:color w:val="000000" w:themeColor="text1"/>
                <w:lang w:eastAsia="de-DE"/>
              </w:rPr>
              <w:drawing>
                <wp:inline distT="0" distB="0" distL="0" distR="0">
                  <wp:extent cx="539491" cy="540000"/>
                  <wp:effectExtent l="0" t="0" r="0" b="0"/>
                  <wp:docPr id="17" name="Bild 11" descr="C:\Users\TOSHIBA\Desktop\SVP_Chemie\Protokol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OSHIBA\Desktop\SVP_Chemie\Protokol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9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D5932" w:rsidRPr="006D5932" w:rsidRDefault="006D5932" w:rsidP="006D5932">
            <w:pPr>
              <w:tabs>
                <w:tab w:val="left" w:pos="1701"/>
                <w:tab w:val="left" w:pos="1985"/>
              </w:tabs>
              <w:ind w:left="1980" w:hanging="198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D5932">
              <w:rPr>
                <w:rFonts w:asciiTheme="majorHAnsi" w:hAnsiTheme="majorHAnsi"/>
                <w:noProof/>
                <w:color w:val="000000" w:themeColor="text1"/>
                <w:lang w:eastAsia="de-DE"/>
              </w:rPr>
              <w:drawing>
                <wp:inline distT="0" distB="0" distL="0" distR="0">
                  <wp:extent cx="539491" cy="540000"/>
                  <wp:effectExtent l="0" t="0" r="0" b="0"/>
                  <wp:docPr id="18" name="Bild 12" descr="C:\Users\TOSHIBA\Desktop\SVP_Chemie\Protokolle\Piktogramme\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OSHIBA\Desktop\SVP_Chemie\Protokolle\Piktogramme\Gift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9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D5932" w:rsidRPr="006D5932" w:rsidRDefault="006D5932" w:rsidP="006D5932">
            <w:pPr>
              <w:tabs>
                <w:tab w:val="left" w:pos="1701"/>
                <w:tab w:val="left" w:pos="1985"/>
              </w:tabs>
              <w:ind w:left="1980" w:hanging="198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D5932">
              <w:rPr>
                <w:rFonts w:asciiTheme="majorHAnsi" w:hAnsiTheme="majorHAnsi"/>
                <w:noProof/>
                <w:color w:val="000000" w:themeColor="text1"/>
                <w:lang w:eastAsia="de-DE"/>
              </w:rPr>
              <w:drawing>
                <wp:inline distT="0" distB="0" distL="0" distR="0">
                  <wp:extent cx="539999" cy="540000"/>
                  <wp:effectExtent l="0" t="0" r="0" b="0"/>
                  <wp:docPr id="19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999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D5932" w:rsidRPr="006D5932" w:rsidRDefault="006D5932" w:rsidP="006D5932">
            <w:pPr>
              <w:tabs>
                <w:tab w:val="left" w:pos="1701"/>
                <w:tab w:val="left" w:pos="1985"/>
              </w:tabs>
              <w:ind w:left="1980" w:hanging="198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D5932">
              <w:rPr>
                <w:rFonts w:asciiTheme="majorHAnsi" w:hAnsiTheme="majorHAnsi"/>
                <w:noProof/>
                <w:color w:val="000000" w:themeColor="text1"/>
                <w:lang w:eastAsia="de-DE"/>
              </w:rPr>
              <w:drawing>
                <wp:inline distT="0" distB="0" distL="0" distR="0">
                  <wp:extent cx="539491" cy="540000"/>
                  <wp:effectExtent l="0" t="0" r="0" b="0"/>
                  <wp:docPr id="20" name="Bild 13" descr="C:\Users\TOSHIBA\Desktop\SVP_Chemie\Protokolle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TOSHIBA\Desktop\SVP_Chemie\Protokolle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9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932" w:rsidRPr="006D5932" w:rsidRDefault="006D5932" w:rsidP="006D5932">
      <w:pPr>
        <w:tabs>
          <w:tab w:val="left" w:pos="1701"/>
          <w:tab w:val="left" w:pos="1985"/>
        </w:tabs>
        <w:ind w:left="1980" w:hanging="1980"/>
        <w:jc w:val="both"/>
        <w:rPr>
          <w:rFonts w:asciiTheme="majorHAnsi" w:hAnsiTheme="majorHAnsi"/>
          <w:color w:val="000000" w:themeColor="text1"/>
        </w:rPr>
      </w:pPr>
    </w:p>
    <w:p w:rsidR="006D5932" w:rsidRPr="006D5932" w:rsidRDefault="006D5932" w:rsidP="006D5932">
      <w:pPr>
        <w:tabs>
          <w:tab w:val="left" w:pos="1418"/>
        </w:tabs>
        <w:ind w:left="1418" w:hanging="1418"/>
        <w:jc w:val="both"/>
        <w:rPr>
          <w:rFonts w:asciiTheme="majorHAnsi" w:hAnsiTheme="majorHAnsi"/>
          <w:color w:val="000000" w:themeColor="text1"/>
        </w:rPr>
      </w:pPr>
      <w:r w:rsidRPr="006D5932">
        <w:rPr>
          <w:rFonts w:asciiTheme="majorHAnsi" w:hAnsiTheme="majorHAnsi"/>
          <w:color w:val="000000" w:themeColor="text1"/>
        </w:rPr>
        <w:t xml:space="preserve">Materialien: </w:t>
      </w:r>
      <w:r w:rsidRPr="006D5932">
        <w:rPr>
          <w:rFonts w:asciiTheme="majorHAnsi" w:hAnsiTheme="majorHAnsi"/>
          <w:color w:val="000000" w:themeColor="text1"/>
        </w:rPr>
        <w:tab/>
        <w:t xml:space="preserve">2 Rundkolben, 2 Stative, durchsichtiger </w:t>
      </w:r>
      <w:proofErr w:type="spellStart"/>
      <w:r w:rsidRPr="006D5932">
        <w:rPr>
          <w:rFonts w:asciiTheme="majorHAnsi" w:hAnsiTheme="majorHAnsi"/>
          <w:color w:val="000000" w:themeColor="text1"/>
        </w:rPr>
        <w:t>Schauch</w:t>
      </w:r>
      <w:proofErr w:type="spellEnd"/>
    </w:p>
    <w:p w:rsidR="006D5932" w:rsidRPr="006D5932" w:rsidRDefault="006D5932" w:rsidP="006D5932">
      <w:pPr>
        <w:tabs>
          <w:tab w:val="left" w:pos="1418"/>
        </w:tabs>
        <w:ind w:left="1418" w:hanging="1418"/>
        <w:jc w:val="both"/>
        <w:rPr>
          <w:rFonts w:asciiTheme="majorHAnsi" w:hAnsiTheme="majorHAnsi"/>
          <w:color w:val="000000" w:themeColor="text1"/>
        </w:rPr>
      </w:pPr>
      <w:r w:rsidRPr="006D5932">
        <w:rPr>
          <w:rFonts w:asciiTheme="majorHAnsi" w:hAnsiTheme="majorHAnsi"/>
          <w:color w:val="000000" w:themeColor="text1"/>
        </w:rPr>
        <w:t>Chemikalien:</w:t>
      </w:r>
      <w:r w:rsidRPr="006D5932">
        <w:rPr>
          <w:rFonts w:asciiTheme="majorHAnsi" w:hAnsiTheme="majorHAnsi"/>
          <w:color w:val="000000" w:themeColor="text1"/>
        </w:rPr>
        <w:tab/>
        <w:t>gefärbtes Wasser</w:t>
      </w:r>
    </w:p>
    <w:p w:rsidR="006D5932" w:rsidRPr="006D5932" w:rsidRDefault="006D5932" w:rsidP="006D5932">
      <w:pPr>
        <w:tabs>
          <w:tab w:val="left" w:pos="1418"/>
        </w:tabs>
        <w:ind w:left="1418" w:hanging="1418"/>
        <w:jc w:val="both"/>
        <w:rPr>
          <w:rFonts w:asciiTheme="majorHAnsi" w:hAnsiTheme="majorHAnsi"/>
          <w:color w:val="000000" w:themeColor="text1"/>
        </w:rPr>
      </w:pPr>
      <w:r w:rsidRPr="006D5932">
        <w:rPr>
          <w:rFonts w:asciiTheme="majorHAnsi" w:hAnsiTheme="majorHAnsi"/>
          <w:color w:val="000000" w:themeColor="text1"/>
        </w:rPr>
        <w:t>Durchführung:</w:t>
      </w:r>
      <w:r w:rsidRPr="006D5932">
        <w:rPr>
          <w:rFonts w:asciiTheme="majorHAnsi" w:hAnsiTheme="majorHAnsi"/>
          <w:color w:val="000000" w:themeColor="text1"/>
        </w:rPr>
        <w:tab/>
        <w:t xml:space="preserve">Wie in der Abbildung unten zu sehen wird der linke (Ausgangs-)Rundkolben höher angebracht und mit Wasser gefüllt. </w:t>
      </w:r>
    </w:p>
    <w:p w:rsidR="006D5932" w:rsidRPr="006D5932" w:rsidRDefault="006D5932" w:rsidP="006D5932">
      <w:pPr>
        <w:numPr>
          <w:ilvl w:val="0"/>
          <w:numId w:val="1"/>
        </w:numPr>
        <w:tabs>
          <w:tab w:val="left" w:pos="1701"/>
          <w:tab w:val="left" w:pos="1985"/>
        </w:tabs>
        <w:spacing w:after="200"/>
        <w:ind w:left="2061"/>
        <w:jc w:val="both"/>
        <w:rPr>
          <w:rFonts w:asciiTheme="majorHAnsi" w:hAnsiTheme="majorHAnsi"/>
          <w:color w:val="000000" w:themeColor="text1"/>
        </w:rPr>
      </w:pPr>
      <w:r w:rsidRPr="006D5932">
        <w:rPr>
          <w:rFonts w:asciiTheme="majorHAnsi" w:hAnsiTheme="majorHAnsi"/>
          <w:color w:val="000000" w:themeColor="text1"/>
        </w:rPr>
        <w:t>Der Schlauch wird als Verbindung der beiden Rundkolben verwendet.</w:t>
      </w:r>
    </w:p>
    <w:p w:rsidR="006D5932" w:rsidRPr="006D5932" w:rsidRDefault="006D5932" w:rsidP="006D5932">
      <w:pPr>
        <w:numPr>
          <w:ilvl w:val="0"/>
          <w:numId w:val="1"/>
        </w:numPr>
        <w:tabs>
          <w:tab w:val="left" w:pos="1701"/>
          <w:tab w:val="left" w:pos="1985"/>
        </w:tabs>
        <w:spacing w:after="200"/>
        <w:ind w:left="2061"/>
        <w:jc w:val="both"/>
        <w:rPr>
          <w:rFonts w:asciiTheme="majorHAnsi" w:hAnsiTheme="majorHAnsi"/>
          <w:color w:val="000000" w:themeColor="text1"/>
        </w:rPr>
      </w:pPr>
      <w:r w:rsidRPr="006D5932">
        <w:rPr>
          <w:rFonts w:asciiTheme="majorHAnsi" w:hAnsiTheme="majorHAnsi"/>
          <w:color w:val="000000" w:themeColor="text1"/>
        </w:rPr>
        <w:t>Das Wasser wird in den Schlauch gesaugt, bis es den höchsten Punkt des Schlauches überwunden hat und schnell wieder in den rechten (End-) Rundkolben gesteckt.</w:t>
      </w:r>
    </w:p>
    <w:p w:rsidR="006D5932" w:rsidRPr="006D5932" w:rsidRDefault="006D5932" w:rsidP="006D5932">
      <w:pPr>
        <w:tabs>
          <w:tab w:val="left" w:pos="1701"/>
          <w:tab w:val="left" w:pos="1985"/>
        </w:tabs>
        <w:ind w:left="1980" w:hanging="1980"/>
        <w:jc w:val="both"/>
        <w:rPr>
          <w:rFonts w:asciiTheme="majorHAnsi" w:hAnsiTheme="majorHAnsi"/>
          <w:color w:val="000000" w:themeColor="text1"/>
        </w:rPr>
      </w:pPr>
    </w:p>
    <w:p w:rsidR="006D5932" w:rsidRPr="006D5932" w:rsidRDefault="006D5932" w:rsidP="006D5932">
      <w:pPr>
        <w:tabs>
          <w:tab w:val="left" w:pos="1418"/>
        </w:tabs>
        <w:ind w:left="1980" w:hanging="1980"/>
        <w:jc w:val="both"/>
        <w:rPr>
          <w:rFonts w:asciiTheme="majorHAnsi" w:hAnsiTheme="majorHAnsi"/>
          <w:color w:val="000000" w:themeColor="text1"/>
        </w:rPr>
      </w:pPr>
      <w:r w:rsidRPr="006D5932">
        <w:rPr>
          <w:rFonts w:asciiTheme="majorHAnsi" w:hAnsiTheme="majorHAnsi"/>
          <w:color w:val="000000" w:themeColor="text1"/>
        </w:rPr>
        <w:t>Beobachtung:</w:t>
      </w:r>
      <w:r w:rsidRPr="006D5932">
        <w:rPr>
          <w:rFonts w:asciiTheme="majorHAnsi" w:hAnsiTheme="majorHAnsi"/>
          <w:color w:val="000000" w:themeColor="text1"/>
        </w:rPr>
        <w:tab/>
        <w:t>1. Das Wasser bleibt im linken Rundkolben.</w:t>
      </w:r>
    </w:p>
    <w:p w:rsidR="006D5932" w:rsidRPr="006D5932" w:rsidRDefault="006D5932" w:rsidP="006D5932">
      <w:pPr>
        <w:tabs>
          <w:tab w:val="left" w:pos="1418"/>
          <w:tab w:val="left" w:pos="1701"/>
        </w:tabs>
        <w:jc w:val="both"/>
        <w:rPr>
          <w:rFonts w:asciiTheme="majorHAnsi" w:hAnsiTheme="majorHAnsi"/>
          <w:color w:val="000000" w:themeColor="text1"/>
        </w:rPr>
      </w:pPr>
      <w:r w:rsidRPr="006D5932">
        <w:rPr>
          <w:rFonts w:asciiTheme="majorHAnsi" w:hAnsiTheme="majorHAnsi"/>
          <w:color w:val="000000" w:themeColor="text1"/>
        </w:rPr>
        <w:tab/>
        <w:t>2. Das ganze Wasser des Ausgangsrundkolbens fließt in den End-Rundkolben.</w:t>
      </w:r>
    </w:p>
    <w:p w:rsidR="006D5932" w:rsidRPr="006D5932" w:rsidRDefault="006D5932" w:rsidP="006D5932">
      <w:pPr>
        <w:tabs>
          <w:tab w:val="left" w:pos="1701"/>
          <w:tab w:val="left" w:pos="1985"/>
        </w:tabs>
        <w:ind w:left="1980" w:hanging="1980"/>
        <w:jc w:val="both"/>
        <w:rPr>
          <w:rFonts w:asciiTheme="majorHAnsi" w:hAnsiTheme="majorHAnsi"/>
          <w:bCs/>
          <w:color w:val="000000" w:themeColor="text1"/>
        </w:rPr>
      </w:pPr>
    </w:p>
    <w:p w:rsidR="006D5932" w:rsidRPr="006D5932" w:rsidRDefault="006D5932" w:rsidP="006D5932">
      <w:pPr>
        <w:tabs>
          <w:tab w:val="left" w:pos="1701"/>
          <w:tab w:val="left" w:pos="1985"/>
        </w:tabs>
        <w:ind w:left="1980" w:hanging="1980"/>
        <w:jc w:val="both"/>
        <w:rPr>
          <w:rFonts w:asciiTheme="majorHAnsi" w:hAnsiTheme="majorHAnsi"/>
          <w:bCs/>
          <w:color w:val="000000" w:themeColor="text1"/>
        </w:rPr>
      </w:pPr>
      <w:r w:rsidRPr="006D5932">
        <w:rPr>
          <w:rFonts w:asciiTheme="majorHAnsi" w:hAnsiTheme="majorHAnsi"/>
          <w:bCs/>
          <w:noProof/>
          <w:color w:val="000000" w:themeColor="text1"/>
          <w:lang w:eastAsia="de-DE"/>
        </w:rPr>
        <w:drawing>
          <wp:inline distT="0" distB="0" distL="0" distR="0">
            <wp:extent cx="2398678" cy="1800000"/>
            <wp:effectExtent l="19050" t="0" r="1622" b="0"/>
            <wp:docPr id="25" name="Bild 9" descr="C:\Users\TOSHIBA\Desktop\SVP_Chemie\Bilder 7._8\DSCF2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OSHIBA\Desktop\SVP_Chemie\Bilder 7._8\DSCF259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67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932">
        <w:rPr>
          <w:rFonts w:asciiTheme="majorHAnsi" w:hAnsiTheme="majorHAnsi"/>
          <w:bCs/>
          <w:color w:val="000000" w:themeColor="text1"/>
        </w:rPr>
        <w:tab/>
      </w:r>
      <w:r w:rsidRPr="006D5932">
        <w:rPr>
          <w:rFonts w:asciiTheme="majorHAnsi" w:hAnsiTheme="majorHAnsi"/>
          <w:bCs/>
          <w:noProof/>
          <w:color w:val="000000" w:themeColor="text1"/>
          <w:lang w:eastAsia="de-DE"/>
        </w:rPr>
        <w:drawing>
          <wp:inline distT="0" distB="0" distL="0" distR="0">
            <wp:extent cx="2398678" cy="1800000"/>
            <wp:effectExtent l="19050" t="0" r="1622" b="0"/>
            <wp:docPr id="27" name="Bild 10" descr="C:\Users\TOSHIBA\Desktop\SVP_Chemie\Bilder 7._8\DSCF2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OSHIBA\Desktop\SVP_Chemie\Bilder 7._8\DSCF260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67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932" w:rsidRPr="006D5932" w:rsidRDefault="006D5932" w:rsidP="006D5932">
      <w:pPr>
        <w:tabs>
          <w:tab w:val="left" w:pos="1701"/>
          <w:tab w:val="left" w:pos="1985"/>
        </w:tabs>
        <w:ind w:left="1980" w:hanging="1980"/>
        <w:jc w:val="both"/>
        <w:rPr>
          <w:rFonts w:asciiTheme="majorHAnsi" w:hAnsiTheme="majorHAnsi"/>
          <w:bCs/>
          <w:color w:val="000000" w:themeColor="text1"/>
        </w:rPr>
      </w:pPr>
      <w:proofErr w:type="spellStart"/>
      <w:r w:rsidRPr="006D5932">
        <w:rPr>
          <w:rFonts w:asciiTheme="majorHAnsi" w:hAnsiTheme="majorHAnsi"/>
          <w:bCs/>
          <w:color w:val="000000" w:themeColor="text1"/>
        </w:rPr>
        <w:t>Abb</w:t>
      </w:r>
      <w:proofErr w:type="spellEnd"/>
      <w:r w:rsidRPr="006D5932">
        <w:rPr>
          <w:rFonts w:asciiTheme="majorHAnsi" w:hAnsiTheme="majorHAnsi"/>
          <w:bCs/>
          <w:color w:val="000000" w:themeColor="text1"/>
        </w:rPr>
        <w:t xml:space="preserve"> </w:t>
      </w:r>
      <w:r w:rsidR="00533120">
        <w:rPr>
          <w:rFonts w:asciiTheme="majorHAnsi" w:hAnsiTheme="majorHAnsi"/>
          <w:bCs/>
          <w:color w:val="000000" w:themeColor="text1"/>
        </w:rPr>
        <w:t>1</w:t>
      </w:r>
      <w:r w:rsidRPr="006D5932">
        <w:rPr>
          <w:rFonts w:asciiTheme="majorHAnsi" w:hAnsiTheme="majorHAnsi"/>
          <w:bCs/>
          <w:color w:val="000000" w:themeColor="text1"/>
        </w:rPr>
        <w:t>: Saugheber-Modell</w:t>
      </w:r>
    </w:p>
    <w:p w:rsidR="006D5932" w:rsidRPr="006D5932" w:rsidRDefault="006D5932" w:rsidP="006D5932">
      <w:pPr>
        <w:tabs>
          <w:tab w:val="left" w:pos="1418"/>
        </w:tabs>
        <w:ind w:left="1418" w:hanging="1418"/>
        <w:jc w:val="both"/>
        <w:rPr>
          <w:rFonts w:asciiTheme="majorHAnsi" w:hAnsiTheme="majorHAnsi"/>
          <w:color w:val="000000" w:themeColor="text1"/>
        </w:rPr>
      </w:pPr>
      <w:r w:rsidRPr="006D5932">
        <w:rPr>
          <w:rFonts w:asciiTheme="majorHAnsi" w:hAnsiTheme="majorHAnsi"/>
          <w:color w:val="000000" w:themeColor="text1"/>
        </w:rPr>
        <w:lastRenderedPageBreak/>
        <w:t>Deutung:</w:t>
      </w:r>
      <w:r w:rsidRPr="006D5932">
        <w:rPr>
          <w:rFonts w:asciiTheme="majorHAnsi" w:hAnsiTheme="majorHAnsi"/>
          <w:color w:val="000000" w:themeColor="text1"/>
        </w:rPr>
        <w:tab/>
        <w:t xml:space="preserve">Der „Berg“, der durch den Schlauch gebildet wird, kann als Energieberg gesehen werden, der überwunden werden muss. </w:t>
      </w:r>
    </w:p>
    <w:p w:rsidR="006D5932" w:rsidRPr="006D5932" w:rsidRDefault="006D5932" w:rsidP="006D5932">
      <w:pPr>
        <w:tabs>
          <w:tab w:val="left" w:pos="1418"/>
        </w:tabs>
        <w:ind w:left="1418" w:hanging="1418"/>
        <w:jc w:val="both"/>
        <w:rPr>
          <w:rFonts w:asciiTheme="majorHAnsi" w:hAnsiTheme="majorHAnsi"/>
          <w:color w:val="000000" w:themeColor="text1"/>
        </w:rPr>
      </w:pPr>
      <w:r w:rsidRPr="006D5932">
        <w:rPr>
          <w:rFonts w:asciiTheme="majorHAnsi" w:hAnsiTheme="majorHAnsi"/>
          <w:color w:val="000000" w:themeColor="text1"/>
        </w:rPr>
        <w:tab/>
        <w:t>Der Versuch zeigt, dass das Produkt (Wasser im linken Anfangs-Rundkolben) aktiviert werden muss (Ansaugen des Wassers in den Schlauch), um zum Edukt reagieren zu können (Wasser gelangt in den End-Rundkolben).</w:t>
      </w:r>
    </w:p>
    <w:p w:rsidR="006D5932" w:rsidRPr="006D5932" w:rsidRDefault="006D5932" w:rsidP="006D5932">
      <w:pPr>
        <w:tabs>
          <w:tab w:val="left" w:pos="1701"/>
          <w:tab w:val="left" w:pos="1985"/>
        </w:tabs>
        <w:ind w:left="1980" w:hanging="1980"/>
        <w:jc w:val="both"/>
        <w:rPr>
          <w:rFonts w:asciiTheme="majorHAnsi" w:hAnsiTheme="majorHAnsi"/>
          <w:color w:val="000000" w:themeColor="text1"/>
        </w:rPr>
      </w:pPr>
    </w:p>
    <w:p w:rsidR="006D5932" w:rsidRPr="006D5932" w:rsidRDefault="006D5932" w:rsidP="006D5932">
      <w:pPr>
        <w:tabs>
          <w:tab w:val="left" w:pos="1418"/>
        </w:tabs>
        <w:ind w:left="1560" w:hanging="1560"/>
        <w:jc w:val="both"/>
        <w:rPr>
          <w:rFonts w:asciiTheme="majorHAnsi" w:hAnsiTheme="majorHAnsi"/>
          <w:color w:val="000000" w:themeColor="text1"/>
        </w:rPr>
      </w:pPr>
      <w:r w:rsidRPr="006D5932">
        <w:rPr>
          <w:rFonts w:asciiTheme="majorHAnsi" w:hAnsiTheme="majorHAnsi"/>
          <w:color w:val="000000" w:themeColor="text1"/>
        </w:rPr>
        <w:t>Entsorgung:</w:t>
      </w:r>
      <w:r w:rsidRPr="006D5932">
        <w:rPr>
          <w:rFonts w:asciiTheme="majorHAnsi" w:hAnsiTheme="majorHAnsi"/>
          <w:color w:val="000000" w:themeColor="text1"/>
        </w:rPr>
        <w:tab/>
        <w:t>Das durch Lebensmittelfarbe gefärbte Wasser kann über den Abfluss entsorgt werden.</w:t>
      </w:r>
    </w:p>
    <w:p w:rsidR="006D5932" w:rsidRPr="006D5932" w:rsidRDefault="006D5932" w:rsidP="006D5932">
      <w:pPr>
        <w:tabs>
          <w:tab w:val="left" w:pos="1701"/>
          <w:tab w:val="left" w:pos="1985"/>
        </w:tabs>
        <w:ind w:left="1980" w:hanging="1980"/>
        <w:jc w:val="both"/>
        <w:rPr>
          <w:rFonts w:asciiTheme="majorHAnsi" w:hAnsiTheme="majorHAnsi"/>
          <w:color w:val="000000" w:themeColor="text1"/>
        </w:rPr>
      </w:pPr>
    </w:p>
    <w:p w:rsidR="006D5932" w:rsidRPr="006D5932" w:rsidRDefault="006D5932" w:rsidP="006D5932">
      <w:pPr>
        <w:tabs>
          <w:tab w:val="left" w:pos="1418"/>
        </w:tabs>
        <w:ind w:left="1418" w:hanging="1418"/>
        <w:jc w:val="both"/>
        <w:rPr>
          <w:rFonts w:asciiTheme="majorHAnsi" w:hAnsiTheme="majorHAnsi"/>
          <w:color w:val="000000" w:themeColor="text1"/>
        </w:rPr>
      </w:pPr>
      <w:r w:rsidRPr="006D5932">
        <w:rPr>
          <w:rFonts w:asciiTheme="majorHAnsi" w:hAnsiTheme="majorHAnsi"/>
          <w:color w:val="000000" w:themeColor="text1"/>
        </w:rPr>
        <w:t>Literatur:</w:t>
      </w:r>
      <w:r w:rsidRPr="006D5932">
        <w:rPr>
          <w:rFonts w:asciiTheme="majorHAnsi" w:hAnsiTheme="majorHAnsi"/>
          <w:color w:val="000000" w:themeColor="text1"/>
        </w:rPr>
        <w:tab/>
        <w:t xml:space="preserve">Tausch, M. und von </w:t>
      </w:r>
      <w:proofErr w:type="spellStart"/>
      <w:r w:rsidRPr="006D5932">
        <w:rPr>
          <w:rFonts w:asciiTheme="majorHAnsi" w:hAnsiTheme="majorHAnsi"/>
          <w:color w:val="000000" w:themeColor="text1"/>
        </w:rPr>
        <w:t>Wachtendonk</w:t>
      </w:r>
      <w:proofErr w:type="spellEnd"/>
      <w:r w:rsidRPr="006D5932">
        <w:rPr>
          <w:rFonts w:asciiTheme="majorHAnsi" w:hAnsiTheme="majorHAnsi"/>
          <w:color w:val="000000" w:themeColor="text1"/>
        </w:rPr>
        <w:t>, M. (1996). Chemie – Stoffe Formel Umwelt. C. C. Buchners Verlag, Bamberg, S. 37.</w:t>
      </w:r>
    </w:p>
    <w:p w:rsidR="006D5932" w:rsidRPr="006D5932" w:rsidRDefault="006D5932" w:rsidP="006D5932">
      <w:pPr>
        <w:tabs>
          <w:tab w:val="left" w:pos="0"/>
        </w:tabs>
        <w:jc w:val="both"/>
        <w:rPr>
          <w:rFonts w:asciiTheme="majorHAnsi" w:hAnsiTheme="majorHAnsi"/>
          <w:color w:val="000000" w:themeColor="text1"/>
        </w:rPr>
      </w:pPr>
    </w:p>
    <w:p w:rsidR="006D5932" w:rsidRPr="006D5932" w:rsidRDefault="003C4E2D" w:rsidP="006D5932">
      <w:pPr>
        <w:tabs>
          <w:tab w:val="left" w:pos="2500"/>
        </w:tabs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</w:r>
      <w:r>
        <w:rPr>
          <w:rFonts w:asciiTheme="majorHAnsi" w:hAnsiTheme="majorHAnsi"/>
          <w:color w:val="000000" w:themeColor="text1"/>
        </w:rPr>
        <w:pict>
          <v:shape id="_x0000_s1038" type="#_x0000_t202" style="width:462.45pt;height:80.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38">
              <w:txbxContent>
                <w:p w:rsidR="006D5932" w:rsidRPr="00533120" w:rsidRDefault="006D5932" w:rsidP="00533120">
                  <w:pPr>
                    <w:jc w:val="both"/>
                    <w:rPr>
                      <w:rFonts w:asciiTheme="majorHAnsi" w:hAnsiTheme="majorHAnsi"/>
                    </w:rPr>
                  </w:pPr>
                  <w:r w:rsidRPr="00533120">
                    <w:rPr>
                      <w:rFonts w:asciiTheme="majorHAnsi" w:hAnsiTheme="majorHAnsi"/>
                    </w:rPr>
                    <w:t>Dieser Versuch ist als Lehrer-Demonstrationsversuch gut geeignet, um die Aktivierungsenergie zu verdeutlichen.</w:t>
                  </w:r>
                </w:p>
                <w:p w:rsidR="006D5932" w:rsidRPr="00533120" w:rsidRDefault="006D5932" w:rsidP="00533120">
                  <w:pPr>
                    <w:jc w:val="both"/>
                    <w:rPr>
                      <w:rFonts w:asciiTheme="majorHAnsi" w:hAnsiTheme="majorHAnsi"/>
                    </w:rPr>
                  </w:pPr>
                  <w:r w:rsidRPr="00533120">
                    <w:rPr>
                      <w:rFonts w:asciiTheme="majorHAnsi" w:hAnsiTheme="majorHAnsi"/>
                    </w:rPr>
                    <w:t>Er kann als Einstiegsversuch in die Unterrichtseinheit „Aktivierungsenergie“ verwendet werden.</w:t>
                  </w:r>
                </w:p>
              </w:txbxContent>
            </v:textbox>
            <w10:wrap type="none"/>
            <w10:anchorlock/>
          </v:shape>
        </w:pict>
      </w:r>
    </w:p>
    <w:p w:rsidR="0043384F" w:rsidRPr="006D5932" w:rsidRDefault="00EF507A" w:rsidP="006D5932">
      <w:pPr>
        <w:spacing w:after="200" w:line="276" w:lineRule="auto"/>
        <w:jc w:val="both"/>
        <w:rPr>
          <w:rFonts w:asciiTheme="majorHAnsi" w:eastAsiaTheme="majorEastAsia" w:hAnsiTheme="majorHAnsi" w:cstheme="majorBidi"/>
          <w:b/>
          <w:bCs/>
          <w:color w:val="1D1B11" w:themeColor="background2" w:themeShade="1A"/>
          <w:szCs w:val="26"/>
        </w:rPr>
      </w:pPr>
    </w:p>
    <w:sectPr w:rsidR="0043384F" w:rsidRPr="006D5932" w:rsidSect="001A2281">
      <w:head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07A" w:rsidRDefault="00EF507A" w:rsidP="006D5932">
      <w:pPr>
        <w:spacing w:line="240" w:lineRule="auto"/>
      </w:pPr>
      <w:r>
        <w:separator/>
      </w:r>
    </w:p>
  </w:endnote>
  <w:endnote w:type="continuationSeparator" w:id="0">
    <w:p w:rsidR="00EF507A" w:rsidRDefault="00EF507A" w:rsidP="006D59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07A" w:rsidRDefault="00EF507A" w:rsidP="006D5932">
      <w:pPr>
        <w:spacing w:line="240" w:lineRule="auto"/>
      </w:pPr>
      <w:r>
        <w:separator/>
      </w:r>
    </w:p>
  </w:footnote>
  <w:footnote w:type="continuationSeparator" w:id="0">
    <w:p w:rsidR="00EF507A" w:rsidRDefault="00EF507A" w:rsidP="006D593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</w:rPr>
      <w:id w:val="84343485"/>
      <w:docPartObj>
        <w:docPartGallery w:val="Page Numbers (Top of Page)"/>
        <w:docPartUnique/>
      </w:docPartObj>
    </w:sdtPr>
    <w:sdtContent>
      <w:p w:rsidR="006D5932" w:rsidRPr="006D5932" w:rsidRDefault="006D5932" w:rsidP="006D5932">
        <w:pPr>
          <w:pStyle w:val="Kopfzeile"/>
          <w:rPr>
            <w:rFonts w:asciiTheme="majorHAnsi" w:hAnsiTheme="majorHAnsi"/>
          </w:rPr>
        </w:pPr>
        <w:r w:rsidRPr="006D5932">
          <w:rPr>
            <w:rFonts w:asciiTheme="majorHAnsi" w:hAnsiTheme="majorHAnsi"/>
          </w:rPr>
          <w:t>V 4 – Das Saugheber-Modell</w:t>
        </w:r>
        <w:r w:rsidRPr="006D5932">
          <w:rPr>
            <w:rFonts w:asciiTheme="majorHAnsi" w:hAnsiTheme="majorHAnsi"/>
          </w:rPr>
          <w:tab/>
        </w:r>
        <w:r w:rsidRPr="006D5932">
          <w:rPr>
            <w:rFonts w:asciiTheme="majorHAnsi" w:hAnsiTheme="majorHAnsi"/>
          </w:rPr>
          <w:tab/>
          <w:t xml:space="preserve"> </w:t>
        </w:r>
        <w:r w:rsidR="003C4E2D" w:rsidRPr="006D5932">
          <w:rPr>
            <w:rFonts w:asciiTheme="majorHAnsi" w:hAnsiTheme="majorHAnsi"/>
          </w:rPr>
          <w:fldChar w:fldCharType="begin"/>
        </w:r>
        <w:r w:rsidRPr="006D5932">
          <w:rPr>
            <w:rFonts w:asciiTheme="majorHAnsi" w:hAnsiTheme="majorHAnsi"/>
          </w:rPr>
          <w:instrText xml:space="preserve"> PAGE   \* MERGEFORMAT </w:instrText>
        </w:r>
        <w:r w:rsidR="003C4E2D" w:rsidRPr="006D5932">
          <w:rPr>
            <w:rFonts w:asciiTheme="majorHAnsi" w:hAnsiTheme="majorHAnsi"/>
          </w:rPr>
          <w:fldChar w:fldCharType="separate"/>
        </w:r>
        <w:r w:rsidR="00533120">
          <w:rPr>
            <w:rFonts w:asciiTheme="majorHAnsi" w:hAnsiTheme="majorHAnsi"/>
            <w:noProof/>
          </w:rPr>
          <w:t>1</w:t>
        </w:r>
        <w:r w:rsidR="003C4E2D" w:rsidRPr="006D5932">
          <w:rPr>
            <w:rFonts w:asciiTheme="majorHAnsi" w:hAnsiTheme="majorHAnsi"/>
          </w:rPr>
          <w:fldChar w:fldCharType="end"/>
        </w:r>
      </w:p>
    </w:sdtContent>
  </w:sdt>
  <w:p w:rsidR="006D5932" w:rsidRPr="006D5932" w:rsidRDefault="003C4E2D">
    <w:pPr>
      <w:pStyle w:val="Kopfzeile"/>
      <w:rPr>
        <w:rFonts w:asciiTheme="majorHAnsi" w:hAnsiTheme="majorHAnsi"/>
      </w:rPr>
    </w:pPr>
    <w:r>
      <w:rPr>
        <w:rFonts w:asciiTheme="majorHAnsi" w:hAnsiTheme="majorHAnsi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margin-left:-3.35pt;margin-top:3.05pt;width:462pt;height:.05pt;flip:x;z-index:251660288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42D4"/>
    <w:multiLevelType w:val="hybridMultilevel"/>
    <w:tmpl w:val="655AC9FE"/>
    <w:lvl w:ilvl="0" w:tplc="6938171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5C92317"/>
    <w:multiLevelType w:val="hybridMultilevel"/>
    <w:tmpl w:val="0FF6971A"/>
    <w:lvl w:ilvl="0" w:tplc="28E65A2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3"/>
      <o:rules v:ext="edit">
        <o:r id="V:Rule2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D42E3"/>
    <w:rsid w:val="001461C9"/>
    <w:rsid w:val="001A2281"/>
    <w:rsid w:val="00345F38"/>
    <w:rsid w:val="003C4E2D"/>
    <w:rsid w:val="004D42E3"/>
    <w:rsid w:val="00533120"/>
    <w:rsid w:val="0058380E"/>
    <w:rsid w:val="005A32BD"/>
    <w:rsid w:val="006C32AC"/>
    <w:rsid w:val="006D5932"/>
    <w:rsid w:val="007A21C8"/>
    <w:rsid w:val="007C1063"/>
    <w:rsid w:val="009C761D"/>
    <w:rsid w:val="009E06D5"/>
    <w:rsid w:val="00D17FDE"/>
    <w:rsid w:val="00E773B6"/>
    <w:rsid w:val="00EF507A"/>
    <w:rsid w:val="00F669C0"/>
    <w:rsid w:val="00F70900"/>
    <w:rsid w:val="00F8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2281"/>
  </w:style>
  <w:style w:type="paragraph" w:styleId="berschrift1">
    <w:name w:val="heading 1"/>
    <w:basedOn w:val="Standard"/>
    <w:next w:val="Standard"/>
    <w:link w:val="berschrift1Zchn"/>
    <w:uiPriority w:val="9"/>
    <w:rsid w:val="00F853BB"/>
    <w:pPr>
      <w:keepNext/>
      <w:outlineLvl w:val="0"/>
    </w:pPr>
    <w:rPr>
      <w:rFonts w:ascii="Arial" w:eastAsiaTheme="majorEastAsia" w:hAnsi="Arial" w:cstheme="majorBidi"/>
      <w:b/>
      <w:bCs/>
      <w:kern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53BB"/>
    <w:rPr>
      <w:rFonts w:ascii="Arial" w:eastAsiaTheme="majorEastAsia" w:hAnsi="Arial" w:cstheme="majorBidi"/>
      <w:b/>
      <w:bCs/>
      <w:kern w:val="32"/>
      <w:sz w:val="22"/>
      <w:szCs w:val="3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42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42E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45F3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6D593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D5932"/>
  </w:style>
  <w:style w:type="paragraph" w:styleId="Fuzeile">
    <w:name w:val="footer"/>
    <w:basedOn w:val="Standard"/>
    <w:link w:val="FuzeileZchn"/>
    <w:uiPriority w:val="99"/>
    <w:semiHidden/>
    <w:unhideWhenUsed/>
    <w:rsid w:val="006D593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D5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dcterms:created xsi:type="dcterms:W3CDTF">2013-07-30T11:01:00Z</dcterms:created>
  <dcterms:modified xsi:type="dcterms:W3CDTF">2013-08-12T16:10:00Z</dcterms:modified>
</cp:coreProperties>
</file>